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4B" w:rsidRPr="00316A86" w:rsidRDefault="006F20D3" w:rsidP="00C31148">
      <w:pPr>
        <w:jc w:val="center"/>
        <w:rPr>
          <w:rFonts w:ascii="標楷體" w:eastAsia="標楷體" w:hAnsi="標楷體"/>
          <w:spacing w:val="-20"/>
          <w:sz w:val="36"/>
          <w:szCs w:val="36"/>
        </w:rPr>
      </w:pPr>
      <w:r w:rsidRPr="00316A86">
        <w:rPr>
          <w:rFonts w:ascii="標楷體" w:eastAsia="標楷體" w:hAnsi="標楷體" w:hint="eastAsia"/>
          <w:spacing w:val="-20"/>
          <w:sz w:val="36"/>
          <w:szCs w:val="36"/>
        </w:rPr>
        <w:t>交通部民用航空局馬公航空站10</w:t>
      </w:r>
      <w:r w:rsidR="00586917">
        <w:rPr>
          <w:rFonts w:ascii="標楷體" w:eastAsia="標楷體" w:hAnsi="標楷體" w:hint="eastAsia"/>
          <w:spacing w:val="-20"/>
          <w:sz w:val="36"/>
          <w:szCs w:val="36"/>
        </w:rPr>
        <w:t>7</w:t>
      </w:r>
      <w:r w:rsidRPr="00316A86">
        <w:rPr>
          <w:rFonts w:ascii="標楷體" w:eastAsia="標楷體" w:hAnsi="標楷體" w:hint="eastAsia"/>
          <w:spacing w:val="-20"/>
          <w:sz w:val="36"/>
          <w:szCs w:val="36"/>
        </w:rPr>
        <w:t>年</w:t>
      </w:r>
      <w:r w:rsidR="00316A86" w:rsidRPr="00316A86">
        <w:rPr>
          <w:rFonts w:ascii="標楷體" w:eastAsia="標楷體" w:hAnsi="標楷體" w:hint="eastAsia"/>
          <w:spacing w:val="-20"/>
          <w:sz w:val="36"/>
          <w:szCs w:val="36"/>
        </w:rPr>
        <w:t>人民</w:t>
      </w:r>
      <w:r w:rsidRPr="00316A86">
        <w:rPr>
          <w:rFonts w:ascii="標楷體" w:eastAsia="標楷體" w:hAnsi="標楷體" w:hint="eastAsia"/>
          <w:spacing w:val="-20"/>
          <w:sz w:val="36"/>
          <w:szCs w:val="36"/>
        </w:rPr>
        <w:t>陳情案件</w:t>
      </w:r>
      <w:r w:rsidR="00F37ED2" w:rsidRPr="00316A86">
        <w:rPr>
          <w:rFonts w:ascii="標楷體" w:eastAsia="標楷體" w:hAnsi="標楷體" w:hint="eastAsia"/>
          <w:spacing w:val="-20"/>
          <w:sz w:val="36"/>
          <w:szCs w:val="36"/>
        </w:rPr>
        <w:t>檢討</w:t>
      </w:r>
      <w:r w:rsidRPr="00316A86">
        <w:rPr>
          <w:rFonts w:ascii="標楷體" w:eastAsia="標楷體" w:hAnsi="標楷體" w:hint="eastAsia"/>
          <w:spacing w:val="-20"/>
          <w:sz w:val="36"/>
          <w:szCs w:val="36"/>
        </w:rPr>
        <w:t>分析報告</w:t>
      </w:r>
    </w:p>
    <w:p w:rsidR="00635955" w:rsidRPr="00635955" w:rsidRDefault="004755E8" w:rsidP="00635955">
      <w:pPr>
        <w:autoSpaceDE w:val="0"/>
        <w:autoSpaceDN w:val="0"/>
        <w:adjustRightIn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一、</w:t>
      </w:r>
      <w:r w:rsidR="00635955" w:rsidRPr="00635955">
        <w:rPr>
          <w:rFonts w:eastAsia="標楷體" w:hint="eastAsia"/>
          <w:sz w:val="32"/>
        </w:rPr>
        <w:t>前言</w:t>
      </w:r>
    </w:p>
    <w:p w:rsidR="006F20D3" w:rsidRPr="00635955" w:rsidRDefault="00635955" w:rsidP="00B90F69">
      <w:pPr>
        <w:pStyle w:val="a3"/>
        <w:ind w:leftChars="250" w:left="600"/>
        <w:jc w:val="both"/>
        <w:rPr>
          <w:rFonts w:ascii="標楷體" w:eastAsia="標楷體" w:hAnsi="標楷體"/>
          <w:sz w:val="32"/>
          <w:szCs w:val="32"/>
        </w:rPr>
      </w:pPr>
      <w:r w:rsidRPr="00635955">
        <w:rPr>
          <w:rFonts w:ascii="標楷體" w:eastAsia="標楷體" w:cs="標楷體" w:hint="eastAsia"/>
          <w:kern w:val="0"/>
          <w:sz w:val="32"/>
          <w:szCs w:val="32"/>
        </w:rPr>
        <w:t>本</w:t>
      </w:r>
      <w:r>
        <w:rPr>
          <w:rFonts w:ascii="標楷體" w:eastAsia="標楷體" w:cs="標楷體" w:hint="eastAsia"/>
          <w:kern w:val="0"/>
          <w:sz w:val="32"/>
          <w:szCs w:val="32"/>
        </w:rPr>
        <w:t>站</w:t>
      </w:r>
      <w:r w:rsidRPr="00635955">
        <w:rPr>
          <w:rFonts w:ascii="標楷體" w:eastAsia="標楷體" w:cs="標楷體" w:hint="eastAsia"/>
          <w:kern w:val="0"/>
          <w:sz w:val="32"/>
          <w:szCs w:val="32"/>
        </w:rPr>
        <w:t>受理民眾意見反映及陳情案件管道多元，如</w:t>
      </w:r>
      <w:r w:rsidR="0009595E">
        <w:rPr>
          <w:rFonts w:ascii="標楷體" w:eastAsia="標楷體" w:cs="標楷體" w:hint="eastAsia"/>
          <w:kern w:val="0"/>
          <w:sz w:val="32"/>
          <w:szCs w:val="32"/>
        </w:rPr>
        <w:t>現場、電話、</w:t>
      </w:r>
      <w:r w:rsidR="00DE7319">
        <w:rPr>
          <w:rFonts w:ascii="標楷體" w:eastAsia="標楷體" w:cs="標楷體" w:hint="eastAsia"/>
          <w:kern w:val="0"/>
          <w:sz w:val="32"/>
          <w:szCs w:val="32"/>
        </w:rPr>
        <w:t>書面、</w:t>
      </w:r>
      <w:r w:rsidRPr="00635955">
        <w:rPr>
          <w:rFonts w:ascii="標楷體" w:eastAsia="標楷體" w:cs="標楷體" w:hint="eastAsia"/>
          <w:kern w:val="0"/>
          <w:sz w:val="32"/>
          <w:szCs w:val="32"/>
        </w:rPr>
        <w:t>局長信箱、</w:t>
      </w:r>
      <w:r>
        <w:rPr>
          <w:rFonts w:ascii="標楷體" w:eastAsia="標楷體" w:cs="標楷體" w:hint="eastAsia"/>
          <w:kern w:val="0"/>
          <w:sz w:val="32"/>
          <w:szCs w:val="32"/>
        </w:rPr>
        <w:t>主任</w:t>
      </w:r>
      <w:r w:rsidRPr="00635955">
        <w:rPr>
          <w:rFonts w:ascii="標楷體" w:eastAsia="標楷體" w:cs="標楷體" w:hint="eastAsia"/>
          <w:kern w:val="0"/>
          <w:sz w:val="32"/>
          <w:szCs w:val="32"/>
        </w:rPr>
        <w:t>信箱、與民有</w:t>
      </w:r>
      <w:bookmarkStart w:id="0" w:name="_GoBack"/>
      <w:r w:rsidRPr="00635955">
        <w:rPr>
          <w:rFonts w:ascii="標楷體" w:eastAsia="標楷體" w:cs="標楷體" w:hint="eastAsia"/>
          <w:kern w:val="0"/>
          <w:sz w:val="32"/>
          <w:szCs w:val="32"/>
        </w:rPr>
        <w:t>約</w:t>
      </w:r>
      <w:bookmarkEnd w:id="0"/>
      <w:r w:rsidRPr="00635955">
        <w:rPr>
          <w:rFonts w:ascii="標楷體" w:eastAsia="標楷體" w:cs="標楷體" w:hint="eastAsia"/>
          <w:kern w:val="0"/>
          <w:sz w:val="32"/>
          <w:szCs w:val="32"/>
        </w:rPr>
        <w:t>、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</w:rPr>
        <w:t>線上申訴</w:t>
      </w:r>
      <w:proofErr w:type="gramEnd"/>
      <w:r w:rsidRPr="00635955">
        <w:rPr>
          <w:rFonts w:ascii="標楷體" w:eastAsia="標楷體" w:cs="標楷體" w:hint="eastAsia"/>
          <w:kern w:val="0"/>
          <w:sz w:val="32"/>
          <w:szCs w:val="32"/>
        </w:rPr>
        <w:t>等，為有效率處理民眾陳情意見，乃將人民陳情案件整合成為單一窗口，由專人專案列管追蹤，</w:t>
      </w:r>
      <w:r w:rsidR="00493692">
        <w:rPr>
          <w:rFonts w:ascii="標楷體" w:eastAsia="標楷體" w:cs="標楷體" w:hint="eastAsia"/>
          <w:kern w:val="0"/>
          <w:sz w:val="32"/>
          <w:szCs w:val="32"/>
        </w:rPr>
        <w:t>定期</w:t>
      </w:r>
      <w:r w:rsidRPr="00635955">
        <w:rPr>
          <w:rFonts w:ascii="標楷體" w:eastAsia="標楷體" w:cs="標楷體" w:hint="eastAsia"/>
          <w:kern w:val="0"/>
          <w:sz w:val="32"/>
          <w:szCs w:val="32"/>
        </w:rPr>
        <w:t>分析</w:t>
      </w:r>
      <w:r w:rsidR="00493692">
        <w:rPr>
          <w:rFonts w:ascii="標楷體" w:eastAsia="標楷體" w:cs="標楷體" w:hint="eastAsia"/>
          <w:kern w:val="0"/>
          <w:sz w:val="32"/>
          <w:szCs w:val="32"/>
        </w:rPr>
        <w:t>辦理</w:t>
      </w:r>
      <w:r w:rsidRPr="00635955">
        <w:rPr>
          <w:rFonts w:ascii="標楷體" w:eastAsia="標楷體" w:cs="標楷體" w:hint="eastAsia"/>
          <w:kern w:val="0"/>
          <w:sz w:val="32"/>
          <w:szCs w:val="32"/>
        </w:rPr>
        <w:t>結果並檢討改進，期能提高本</w:t>
      </w:r>
      <w:r>
        <w:rPr>
          <w:rFonts w:ascii="標楷體" w:eastAsia="標楷體" w:cs="標楷體" w:hint="eastAsia"/>
          <w:kern w:val="0"/>
          <w:sz w:val="32"/>
          <w:szCs w:val="32"/>
        </w:rPr>
        <w:t>站</w:t>
      </w:r>
      <w:r w:rsidRPr="00635955">
        <w:rPr>
          <w:rFonts w:ascii="標楷體" w:eastAsia="標楷體" w:cs="標楷體" w:hint="eastAsia"/>
          <w:kern w:val="0"/>
          <w:sz w:val="32"/>
          <w:szCs w:val="32"/>
        </w:rPr>
        <w:t>人民陳情案件處理品質及效率，進而提升本</w:t>
      </w:r>
      <w:r>
        <w:rPr>
          <w:rFonts w:ascii="標楷體" w:eastAsia="標楷體" w:cs="標楷體" w:hint="eastAsia"/>
          <w:kern w:val="0"/>
          <w:sz w:val="32"/>
          <w:szCs w:val="32"/>
        </w:rPr>
        <w:t>站</w:t>
      </w:r>
      <w:r w:rsidRPr="00635955">
        <w:rPr>
          <w:rFonts w:ascii="標楷體" w:eastAsia="標楷體" w:cs="標楷體" w:hint="eastAsia"/>
          <w:kern w:val="0"/>
          <w:sz w:val="32"/>
          <w:szCs w:val="32"/>
        </w:rPr>
        <w:t>之</w:t>
      </w:r>
      <w:r>
        <w:rPr>
          <w:rFonts w:ascii="標楷體" w:eastAsia="標楷體" w:cs="標楷體" w:hint="eastAsia"/>
          <w:kern w:val="0"/>
          <w:sz w:val="32"/>
          <w:szCs w:val="32"/>
        </w:rPr>
        <w:t>為民</w:t>
      </w:r>
      <w:r w:rsidRPr="00635955">
        <w:rPr>
          <w:rFonts w:ascii="標楷體" w:eastAsia="標楷體" w:cs="標楷體" w:hint="eastAsia"/>
          <w:kern w:val="0"/>
          <w:sz w:val="32"/>
          <w:szCs w:val="32"/>
        </w:rPr>
        <w:t>服務</w:t>
      </w:r>
      <w:r>
        <w:rPr>
          <w:rFonts w:ascii="標楷體" w:eastAsia="標楷體" w:cs="標楷體" w:hint="eastAsia"/>
          <w:kern w:val="0"/>
          <w:sz w:val="32"/>
          <w:szCs w:val="32"/>
        </w:rPr>
        <w:t>績效</w:t>
      </w:r>
      <w:r w:rsidRPr="00635955">
        <w:rPr>
          <w:rFonts w:ascii="標楷體" w:eastAsia="標楷體" w:cs="標楷體" w:hint="eastAsia"/>
          <w:kern w:val="0"/>
          <w:sz w:val="32"/>
          <w:szCs w:val="32"/>
        </w:rPr>
        <w:t>。</w:t>
      </w:r>
      <w:proofErr w:type="gramStart"/>
      <w:r w:rsidR="00493692">
        <w:rPr>
          <w:rFonts w:ascii="標楷體" w:eastAsia="標楷體" w:cs="標楷體" w:hint="eastAsia"/>
          <w:kern w:val="0"/>
          <w:sz w:val="32"/>
          <w:szCs w:val="32"/>
        </w:rPr>
        <w:t>10</w:t>
      </w:r>
      <w:r w:rsidR="00C0676E">
        <w:rPr>
          <w:rFonts w:ascii="標楷體" w:eastAsia="標楷體" w:cs="標楷體" w:hint="eastAsia"/>
          <w:kern w:val="0"/>
          <w:sz w:val="32"/>
          <w:szCs w:val="32"/>
        </w:rPr>
        <w:t>7</w:t>
      </w:r>
      <w:proofErr w:type="gramEnd"/>
      <w:r w:rsidRPr="00635955">
        <w:rPr>
          <w:rFonts w:ascii="標楷體" w:eastAsia="標楷體" w:cs="標楷體" w:hint="eastAsia"/>
          <w:kern w:val="0"/>
          <w:sz w:val="32"/>
          <w:szCs w:val="32"/>
        </w:rPr>
        <w:t>年</w:t>
      </w:r>
      <w:r w:rsidR="009B06AC">
        <w:rPr>
          <w:rFonts w:ascii="標楷體" w:eastAsia="標楷體" w:cs="標楷體" w:hint="eastAsia"/>
          <w:kern w:val="0"/>
          <w:sz w:val="32"/>
          <w:szCs w:val="32"/>
        </w:rPr>
        <w:t>度</w:t>
      </w:r>
      <w:r w:rsidR="00826B93">
        <w:rPr>
          <w:rFonts w:ascii="標楷體" w:eastAsia="標楷體" w:cs="標楷體" w:hint="eastAsia"/>
          <w:kern w:val="0"/>
          <w:sz w:val="32"/>
          <w:szCs w:val="32"/>
        </w:rPr>
        <w:t>共受理</w:t>
      </w:r>
      <w:r w:rsidRPr="00635955">
        <w:rPr>
          <w:rFonts w:ascii="標楷體" w:eastAsia="標楷體" w:cs="標楷體" w:hint="eastAsia"/>
          <w:kern w:val="0"/>
          <w:sz w:val="32"/>
          <w:szCs w:val="32"/>
        </w:rPr>
        <w:t>陳情案件</w:t>
      </w:r>
      <w:r w:rsidR="00FF66E6">
        <w:rPr>
          <w:rFonts w:ascii="標楷體" w:eastAsia="標楷體" w:cs="標楷體" w:hint="eastAsia"/>
          <w:color w:val="FF0000"/>
          <w:kern w:val="0"/>
          <w:sz w:val="32"/>
          <w:szCs w:val="32"/>
        </w:rPr>
        <w:t>8</w:t>
      </w:r>
      <w:r w:rsidR="00B47C44">
        <w:rPr>
          <w:rFonts w:ascii="標楷體" w:eastAsia="標楷體" w:cs="標楷體" w:hint="eastAsia"/>
          <w:color w:val="FF0000"/>
          <w:kern w:val="0"/>
          <w:sz w:val="32"/>
          <w:szCs w:val="32"/>
        </w:rPr>
        <w:t>3</w:t>
      </w:r>
      <w:r w:rsidR="00826B93">
        <w:rPr>
          <w:rFonts w:ascii="標楷體" w:eastAsia="標楷體" w:cs="標楷體" w:hint="eastAsia"/>
          <w:kern w:val="0"/>
          <w:sz w:val="32"/>
          <w:szCs w:val="32"/>
        </w:rPr>
        <w:t>件，</w:t>
      </w:r>
      <w:r w:rsidRPr="00635955">
        <w:rPr>
          <w:rFonts w:ascii="標楷體" w:eastAsia="標楷體" w:cs="標楷體" w:hint="eastAsia"/>
          <w:kern w:val="0"/>
          <w:sz w:val="32"/>
          <w:szCs w:val="32"/>
        </w:rPr>
        <w:t>已全數辦結並回覆民眾，謹將陳情案件統計分析如</w:t>
      </w:r>
      <w:r w:rsidR="00493692">
        <w:rPr>
          <w:rFonts w:ascii="標楷體" w:eastAsia="標楷體" w:cs="標楷體" w:hint="eastAsia"/>
          <w:kern w:val="0"/>
          <w:sz w:val="32"/>
          <w:szCs w:val="32"/>
        </w:rPr>
        <w:t>下</w:t>
      </w:r>
      <w:r w:rsidRPr="00635955">
        <w:rPr>
          <w:rFonts w:ascii="標楷體" w:eastAsia="標楷體" w:cs="標楷體" w:hint="eastAsia"/>
          <w:kern w:val="0"/>
          <w:sz w:val="32"/>
          <w:szCs w:val="32"/>
        </w:rPr>
        <w:t>。</w:t>
      </w:r>
    </w:p>
    <w:p w:rsidR="006F20D3" w:rsidRPr="00D47BFA" w:rsidRDefault="00D47BFA" w:rsidP="00D47BF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6F20D3" w:rsidRPr="00D47BFA">
        <w:rPr>
          <w:rFonts w:ascii="標楷體" w:eastAsia="標楷體" w:hAnsi="標楷體" w:hint="eastAsia"/>
          <w:sz w:val="32"/>
          <w:szCs w:val="32"/>
        </w:rPr>
        <w:t>陳情案件</w:t>
      </w:r>
      <w:r w:rsidR="00826B93" w:rsidRPr="00D47BFA">
        <w:rPr>
          <w:rFonts w:ascii="標楷體" w:eastAsia="標楷體" w:hAnsi="標楷體" w:hint="eastAsia"/>
          <w:sz w:val="32"/>
          <w:szCs w:val="32"/>
        </w:rPr>
        <w:t>陳情方式</w:t>
      </w:r>
      <w:r w:rsidR="00ED29AD" w:rsidRPr="00D47BFA">
        <w:rPr>
          <w:rFonts w:ascii="標楷體" w:eastAsia="標楷體" w:hAnsi="標楷體" w:hint="eastAsia"/>
          <w:sz w:val="32"/>
          <w:szCs w:val="32"/>
        </w:rPr>
        <w:t>及類別</w:t>
      </w:r>
      <w:r w:rsidR="00826B93" w:rsidRPr="00D47BFA">
        <w:rPr>
          <w:rFonts w:ascii="標楷體" w:eastAsia="標楷體" w:hAnsi="標楷體" w:hint="eastAsia"/>
          <w:sz w:val="32"/>
          <w:szCs w:val="32"/>
        </w:rPr>
        <w:t>統計</w:t>
      </w:r>
    </w:p>
    <w:p w:rsidR="006F20D3" w:rsidRPr="00D47BFA" w:rsidRDefault="00D47BFA" w:rsidP="00D47BF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</w:t>
      </w:r>
      <w:r w:rsidR="006F20D3" w:rsidRPr="00D47BFA">
        <w:rPr>
          <w:rFonts w:ascii="標楷體" w:eastAsia="標楷體" w:hAnsi="標楷體" w:hint="eastAsia"/>
          <w:sz w:val="32"/>
          <w:szCs w:val="32"/>
        </w:rPr>
        <w:t>陳情</w:t>
      </w:r>
      <w:r w:rsidR="00ED29AD">
        <w:rPr>
          <w:rFonts w:ascii="標楷體" w:eastAsia="標楷體" w:hAnsi="標楷體" w:hint="eastAsia"/>
          <w:sz w:val="32"/>
          <w:szCs w:val="32"/>
        </w:rPr>
        <w:t>案件陳情</w:t>
      </w:r>
      <w:r w:rsidR="006F20D3" w:rsidRPr="00D47BFA">
        <w:rPr>
          <w:rFonts w:ascii="標楷體" w:eastAsia="標楷體" w:hAnsi="標楷體" w:hint="eastAsia"/>
          <w:sz w:val="32"/>
          <w:szCs w:val="32"/>
        </w:rPr>
        <w:t>方式</w:t>
      </w:r>
    </w:p>
    <w:p w:rsidR="006F20D3" w:rsidRPr="00C0676E" w:rsidRDefault="006F20D3" w:rsidP="00D47BFA">
      <w:pPr>
        <w:pStyle w:val="a3"/>
        <w:ind w:leftChars="250" w:left="600"/>
        <w:jc w:val="both"/>
        <w:rPr>
          <w:rFonts w:ascii="標楷體" w:eastAsia="標楷體" w:cs="標楷體"/>
          <w:color w:val="FF0000"/>
          <w:kern w:val="0"/>
          <w:sz w:val="32"/>
          <w:szCs w:val="32"/>
        </w:rPr>
      </w:pPr>
      <w:r w:rsidRPr="00C0676E">
        <w:rPr>
          <w:rFonts w:ascii="標楷體" w:eastAsia="標楷體" w:cs="標楷體" w:hint="eastAsia"/>
          <w:color w:val="FF0000"/>
          <w:kern w:val="0"/>
          <w:sz w:val="32"/>
          <w:szCs w:val="32"/>
        </w:rPr>
        <w:t>陳情方式以</w:t>
      </w:r>
      <w:r w:rsidR="00CD48A7" w:rsidRPr="00C0676E">
        <w:rPr>
          <w:rFonts w:ascii="標楷體" w:eastAsia="標楷體" w:cs="標楷體" w:hint="eastAsia"/>
          <w:color w:val="FF0000"/>
          <w:kern w:val="0"/>
          <w:sz w:val="32"/>
          <w:szCs w:val="32"/>
        </w:rPr>
        <w:t>透過書面來函(含局長信箱)</w:t>
      </w:r>
      <w:r w:rsidR="00FF66E6">
        <w:rPr>
          <w:rFonts w:ascii="標楷體" w:eastAsia="標楷體" w:cs="標楷體" w:hint="eastAsia"/>
          <w:color w:val="FF0000"/>
          <w:kern w:val="0"/>
          <w:sz w:val="32"/>
          <w:szCs w:val="32"/>
        </w:rPr>
        <w:t>4</w:t>
      </w:r>
      <w:r w:rsidR="00B47C44">
        <w:rPr>
          <w:rFonts w:ascii="標楷體" w:eastAsia="標楷體" w:cs="標楷體" w:hint="eastAsia"/>
          <w:color w:val="FF0000"/>
          <w:kern w:val="0"/>
          <w:sz w:val="32"/>
          <w:szCs w:val="32"/>
        </w:rPr>
        <w:t>2</w:t>
      </w:r>
      <w:r w:rsidR="00863D1C" w:rsidRPr="00C0676E">
        <w:rPr>
          <w:rFonts w:ascii="標楷體" w:eastAsia="標楷體" w:cs="標楷體" w:hint="eastAsia"/>
          <w:color w:val="FF0000"/>
          <w:kern w:val="0"/>
          <w:sz w:val="32"/>
          <w:szCs w:val="32"/>
        </w:rPr>
        <w:t>件居多，</w:t>
      </w:r>
      <w:r w:rsidR="009955DC" w:rsidRPr="00C0676E">
        <w:rPr>
          <w:rFonts w:ascii="標楷體" w:eastAsia="標楷體" w:cs="標楷體" w:hint="eastAsia"/>
          <w:color w:val="FF0000"/>
          <w:kern w:val="0"/>
          <w:sz w:val="32"/>
          <w:szCs w:val="32"/>
        </w:rPr>
        <w:t>電子郵件</w:t>
      </w:r>
      <w:r w:rsidR="00D47BFA" w:rsidRPr="00C0676E">
        <w:rPr>
          <w:rFonts w:ascii="標楷體" w:eastAsia="標楷體" w:cs="標楷體" w:hint="eastAsia"/>
          <w:color w:val="FF0000"/>
          <w:kern w:val="0"/>
          <w:sz w:val="32"/>
          <w:szCs w:val="32"/>
        </w:rPr>
        <w:t>(</w:t>
      </w:r>
      <w:proofErr w:type="gramStart"/>
      <w:r w:rsidR="00D47BFA" w:rsidRPr="00C0676E">
        <w:rPr>
          <w:rFonts w:ascii="標楷體" w:eastAsia="標楷體" w:cs="標楷體" w:hint="eastAsia"/>
          <w:color w:val="FF0000"/>
          <w:kern w:val="0"/>
          <w:sz w:val="32"/>
          <w:szCs w:val="32"/>
        </w:rPr>
        <w:t>含線上</w:t>
      </w:r>
      <w:proofErr w:type="gramEnd"/>
      <w:r w:rsidR="00D47BFA" w:rsidRPr="00C0676E">
        <w:rPr>
          <w:rFonts w:ascii="標楷體" w:eastAsia="標楷體" w:cs="標楷體" w:hint="eastAsia"/>
          <w:color w:val="FF0000"/>
          <w:kern w:val="0"/>
          <w:sz w:val="32"/>
          <w:szCs w:val="32"/>
        </w:rPr>
        <w:t>申訴</w:t>
      </w:r>
      <w:r w:rsidR="0014081C" w:rsidRPr="00C0676E">
        <w:rPr>
          <w:rFonts w:ascii="標楷體" w:eastAsia="標楷體" w:cs="標楷體" w:hint="eastAsia"/>
          <w:color w:val="FF0000"/>
          <w:kern w:val="0"/>
          <w:sz w:val="32"/>
          <w:szCs w:val="32"/>
        </w:rPr>
        <w:t>/民意論壇</w:t>
      </w:r>
      <w:r w:rsidR="0077177F" w:rsidRPr="00C0676E">
        <w:rPr>
          <w:rFonts w:ascii="標楷體" w:eastAsia="標楷體" w:cs="標楷體" w:hint="eastAsia"/>
          <w:color w:val="FF0000"/>
          <w:kern w:val="0"/>
          <w:sz w:val="32"/>
          <w:szCs w:val="32"/>
        </w:rPr>
        <w:t>2</w:t>
      </w:r>
      <w:r w:rsidR="00FF66E6">
        <w:rPr>
          <w:rFonts w:ascii="標楷體" w:eastAsia="標楷體" w:cs="標楷體" w:hint="eastAsia"/>
          <w:color w:val="FF0000"/>
          <w:kern w:val="0"/>
          <w:sz w:val="32"/>
          <w:szCs w:val="32"/>
        </w:rPr>
        <w:t>0</w:t>
      </w:r>
      <w:r w:rsidR="00D47BFA" w:rsidRPr="00C0676E">
        <w:rPr>
          <w:rFonts w:ascii="標楷體" w:eastAsia="標楷體" w:cs="標楷體" w:hint="eastAsia"/>
          <w:color w:val="FF0000"/>
          <w:kern w:val="0"/>
          <w:sz w:val="32"/>
          <w:szCs w:val="32"/>
        </w:rPr>
        <w:t>件、主任信箱</w:t>
      </w:r>
      <w:r w:rsidR="00FF66E6">
        <w:rPr>
          <w:rFonts w:ascii="標楷體" w:eastAsia="標楷體" w:cs="標楷體" w:hint="eastAsia"/>
          <w:color w:val="FF0000"/>
          <w:kern w:val="0"/>
          <w:sz w:val="32"/>
          <w:szCs w:val="32"/>
        </w:rPr>
        <w:t>7</w:t>
      </w:r>
      <w:r w:rsidR="00D47BFA" w:rsidRPr="00C0676E">
        <w:rPr>
          <w:rFonts w:ascii="標楷體" w:eastAsia="標楷體" w:cs="標楷體" w:hint="eastAsia"/>
          <w:color w:val="FF0000"/>
          <w:kern w:val="0"/>
          <w:sz w:val="32"/>
          <w:szCs w:val="32"/>
        </w:rPr>
        <w:t>件</w:t>
      </w:r>
      <w:r w:rsidR="0083263F">
        <w:rPr>
          <w:rFonts w:ascii="標楷體" w:eastAsia="標楷體" w:cs="標楷體" w:hint="eastAsia"/>
          <w:color w:val="FF0000"/>
          <w:kern w:val="0"/>
          <w:sz w:val="32"/>
          <w:szCs w:val="32"/>
        </w:rPr>
        <w:t>、局長民意信箱5</w:t>
      </w:r>
      <w:r w:rsidR="0083263F" w:rsidRPr="00C0676E">
        <w:rPr>
          <w:rFonts w:ascii="標楷體" w:eastAsia="標楷體" w:cs="標楷體" w:hint="eastAsia"/>
          <w:color w:val="FF0000"/>
          <w:kern w:val="0"/>
          <w:sz w:val="32"/>
          <w:szCs w:val="32"/>
        </w:rPr>
        <w:t>件</w:t>
      </w:r>
      <w:r w:rsidR="00D47BFA" w:rsidRPr="00C0676E">
        <w:rPr>
          <w:rFonts w:ascii="標楷體" w:eastAsia="標楷體" w:cs="標楷體" w:hint="eastAsia"/>
          <w:color w:val="FF0000"/>
          <w:kern w:val="0"/>
          <w:sz w:val="32"/>
          <w:szCs w:val="32"/>
        </w:rPr>
        <w:t>)</w:t>
      </w:r>
      <w:r w:rsidR="0083263F">
        <w:rPr>
          <w:rFonts w:ascii="標楷體" w:eastAsia="標楷體" w:cs="標楷體" w:hint="eastAsia"/>
          <w:color w:val="FF0000"/>
          <w:kern w:val="0"/>
          <w:sz w:val="32"/>
          <w:szCs w:val="32"/>
        </w:rPr>
        <w:t>32</w:t>
      </w:r>
      <w:r w:rsidR="00CD48A7" w:rsidRPr="00C0676E">
        <w:rPr>
          <w:rFonts w:ascii="標楷體" w:eastAsia="標楷體" w:cs="標楷體" w:hint="eastAsia"/>
          <w:color w:val="FF0000"/>
          <w:kern w:val="0"/>
          <w:sz w:val="32"/>
          <w:szCs w:val="32"/>
        </w:rPr>
        <w:t>件</w:t>
      </w:r>
      <w:r w:rsidR="00863D1C" w:rsidRPr="00C0676E">
        <w:rPr>
          <w:rFonts w:ascii="標楷體" w:eastAsia="標楷體" w:cs="標楷體" w:hint="eastAsia"/>
          <w:color w:val="FF0000"/>
          <w:kern w:val="0"/>
          <w:sz w:val="32"/>
          <w:szCs w:val="32"/>
        </w:rPr>
        <w:t>次之</w:t>
      </w:r>
      <w:r w:rsidR="00D47BFA" w:rsidRPr="00C0676E">
        <w:rPr>
          <w:rFonts w:ascii="標楷體" w:eastAsia="標楷體" w:cs="標楷體" w:hint="eastAsia"/>
          <w:color w:val="FF0000"/>
          <w:kern w:val="0"/>
          <w:sz w:val="32"/>
          <w:szCs w:val="32"/>
        </w:rPr>
        <w:t>、電話(含現場受理)有</w:t>
      </w:r>
      <w:r w:rsidR="00B47C44">
        <w:rPr>
          <w:rFonts w:ascii="標楷體" w:eastAsia="標楷體" w:cs="標楷體" w:hint="eastAsia"/>
          <w:color w:val="FF0000"/>
          <w:kern w:val="0"/>
          <w:sz w:val="32"/>
          <w:szCs w:val="32"/>
        </w:rPr>
        <w:t>9</w:t>
      </w:r>
      <w:r w:rsidR="00D47BFA" w:rsidRPr="00C0676E">
        <w:rPr>
          <w:rFonts w:ascii="標楷體" w:eastAsia="標楷體" w:cs="標楷體" w:hint="eastAsia"/>
          <w:color w:val="FF0000"/>
          <w:kern w:val="0"/>
          <w:sz w:val="32"/>
          <w:szCs w:val="32"/>
        </w:rPr>
        <w:t>件</w:t>
      </w:r>
      <w:r w:rsidR="00B90F69" w:rsidRPr="00C0676E">
        <w:rPr>
          <w:rFonts w:ascii="標楷體" w:eastAsia="標楷體" w:cs="標楷體" w:hint="eastAsia"/>
          <w:color w:val="FF0000"/>
          <w:kern w:val="0"/>
          <w:sz w:val="32"/>
          <w:szCs w:val="32"/>
        </w:rPr>
        <w:t>。</w:t>
      </w:r>
    </w:p>
    <w:p w:rsidR="006F20D3" w:rsidRPr="003104B0" w:rsidRDefault="00327B56" w:rsidP="00B90F69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327B56">
        <w:rPr>
          <w:rFonts w:ascii="標楷體" w:eastAsia="標楷體" w:hAnsi="標楷體" w:hint="eastAsia"/>
          <w:sz w:val="32"/>
          <w:szCs w:val="32"/>
        </w:rPr>
        <w:t>10</w:t>
      </w:r>
      <w:r w:rsidR="00C0676E">
        <w:rPr>
          <w:rFonts w:ascii="標楷體" w:eastAsia="標楷體" w:hAnsi="標楷體" w:hint="eastAsia"/>
          <w:sz w:val="32"/>
          <w:szCs w:val="32"/>
        </w:rPr>
        <w:t>7</w:t>
      </w:r>
      <w:proofErr w:type="gramEnd"/>
      <w:r w:rsidRPr="00327B56">
        <w:rPr>
          <w:rFonts w:ascii="標楷體" w:eastAsia="標楷體" w:hAnsi="標楷體" w:hint="eastAsia"/>
          <w:sz w:val="32"/>
          <w:szCs w:val="32"/>
        </w:rPr>
        <w:t>年度</w:t>
      </w:r>
      <w:r w:rsidR="006F20D3" w:rsidRPr="003104B0">
        <w:rPr>
          <w:rFonts w:ascii="標楷體" w:eastAsia="標楷體" w:hAnsi="標楷體" w:hint="eastAsia"/>
          <w:sz w:val="32"/>
          <w:szCs w:val="32"/>
        </w:rPr>
        <w:t>人民陳情案件陳情方式統計表</w:t>
      </w:r>
    </w:p>
    <w:tbl>
      <w:tblPr>
        <w:tblW w:w="9072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843"/>
        <w:gridCol w:w="2835"/>
        <w:gridCol w:w="1275"/>
      </w:tblGrid>
      <w:tr w:rsidR="0077177F" w:rsidRPr="002C7323" w:rsidTr="0077177F">
        <w:trPr>
          <w:trHeight w:val="34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177F" w:rsidRPr="003104B0" w:rsidRDefault="0077177F" w:rsidP="008B35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4B0">
              <w:rPr>
                <w:rFonts w:ascii="標楷體" w:eastAsia="標楷體" w:hAnsi="標楷體" w:hint="eastAsia"/>
                <w:sz w:val="32"/>
                <w:szCs w:val="32"/>
              </w:rPr>
              <w:t>案件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來源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77F" w:rsidRDefault="0077177F" w:rsidP="008B35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書面</w:t>
            </w:r>
          </w:p>
          <w:p w:rsidR="0077177F" w:rsidRPr="003104B0" w:rsidRDefault="0077177F" w:rsidP="00FF66E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(局長信箱</w:t>
            </w:r>
            <w:r w:rsidR="0083263F">
              <w:rPr>
                <w:rFonts w:ascii="標楷體" w:eastAsia="標楷體" w:hAnsi="標楷體" w:hint="eastAsia"/>
                <w:sz w:val="32"/>
                <w:szCs w:val="32"/>
              </w:rPr>
              <w:t>/陳情書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77F" w:rsidRPr="003104B0" w:rsidRDefault="0077177F" w:rsidP="008B35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4B0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/現場受理(服務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77F" w:rsidRDefault="0077177F" w:rsidP="008B35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電子郵件</w:t>
            </w:r>
          </w:p>
          <w:p w:rsidR="0077177F" w:rsidRPr="003104B0" w:rsidRDefault="0077177F" w:rsidP="008B35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(主任信箱、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線上申訴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、民意論壇</w:t>
            </w:r>
            <w:r w:rsidR="00FF66E6">
              <w:rPr>
                <w:rFonts w:ascii="標楷體" w:eastAsia="標楷體" w:hAnsi="標楷體" w:hint="eastAsia"/>
                <w:sz w:val="32"/>
                <w:szCs w:val="32"/>
              </w:rPr>
              <w:t>/局長民意信箱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177F" w:rsidRPr="003104B0" w:rsidRDefault="0077177F" w:rsidP="008B35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4B0">
              <w:rPr>
                <w:rFonts w:ascii="標楷體" w:eastAsia="標楷體" w:hAnsi="標楷體" w:hint="eastAsia"/>
                <w:sz w:val="32"/>
                <w:szCs w:val="32"/>
              </w:rPr>
              <w:t>總件數</w:t>
            </w:r>
          </w:p>
        </w:tc>
      </w:tr>
      <w:tr w:rsidR="0077177F" w:rsidRPr="002C7323" w:rsidTr="0077177F"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177F" w:rsidRPr="003104B0" w:rsidRDefault="0077177F" w:rsidP="0056418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4B0">
              <w:rPr>
                <w:rFonts w:ascii="標楷體" w:eastAsia="標楷體" w:hAnsi="標楷體" w:hint="eastAsia"/>
                <w:sz w:val="32"/>
                <w:szCs w:val="32"/>
              </w:rPr>
              <w:t>處理件數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77F" w:rsidRPr="003104B0" w:rsidRDefault="0083263F" w:rsidP="0083263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77F" w:rsidRPr="003104B0" w:rsidRDefault="00B47C44" w:rsidP="0083263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77F" w:rsidRPr="003104B0" w:rsidRDefault="00FF66E6" w:rsidP="00FF66E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177F" w:rsidRPr="003104B0" w:rsidRDefault="0083263F" w:rsidP="005D0B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="00B47C44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</w:tr>
      <w:tr w:rsidR="0077177F" w:rsidRPr="002C7323" w:rsidTr="0077177F"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177F" w:rsidRPr="003104B0" w:rsidRDefault="0077177F" w:rsidP="0056418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4B0">
              <w:rPr>
                <w:rFonts w:ascii="標楷體" w:eastAsia="標楷體" w:hAnsi="標楷體" w:hint="eastAsia"/>
                <w:sz w:val="32"/>
                <w:szCs w:val="32"/>
              </w:rPr>
              <w:t>百分比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77F" w:rsidRPr="0083263F" w:rsidRDefault="00B47C44" w:rsidP="00B47C44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  </w:t>
            </w:r>
            <w:r w:rsidR="0077177F" w:rsidRPr="0083263F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</w:t>
            </w:r>
            <w:r w:rsidR="0077177F" w:rsidRPr="0083263F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60</w:t>
            </w:r>
            <w:r w:rsidR="0077177F" w:rsidRPr="0083263F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77F" w:rsidRPr="0083263F" w:rsidRDefault="00B47C44" w:rsidP="00B47C44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10</w:t>
            </w:r>
            <w:r w:rsidR="0077177F" w:rsidRPr="0083263F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84</w:t>
            </w:r>
            <w:r w:rsidR="0077177F" w:rsidRPr="0083263F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77F" w:rsidRPr="0083263F" w:rsidRDefault="0077177F" w:rsidP="00B47C44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3263F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3</w:t>
            </w:r>
            <w:r w:rsidR="00B47C44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8.55</w:t>
            </w:r>
            <w:r w:rsidRPr="0083263F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177F" w:rsidRPr="0083263F" w:rsidRDefault="0077177F" w:rsidP="005D0BBE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3263F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100.00%</w:t>
            </w:r>
          </w:p>
        </w:tc>
      </w:tr>
    </w:tbl>
    <w:p w:rsidR="006F20D3" w:rsidRDefault="006F20D3" w:rsidP="006F20D3">
      <w:pPr>
        <w:pStyle w:val="a3"/>
        <w:ind w:leftChars="0" w:left="1440"/>
        <w:rPr>
          <w:noProof/>
        </w:rPr>
      </w:pPr>
    </w:p>
    <w:p w:rsidR="001C6ECD" w:rsidRDefault="00586917" w:rsidP="00624642">
      <w:pPr>
        <w:pStyle w:val="a3"/>
        <w:ind w:leftChars="150" w:left="360"/>
        <w:rPr>
          <w:noProof/>
        </w:rPr>
      </w:pPr>
      <w:r>
        <w:rPr>
          <w:noProof/>
        </w:rPr>
        <w:lastRenderedPageBreak/>
        <w:drawing>
          <wp:inline distT="0" distB="0" distL="0" distR="0" wp14:anchorId="15305A33" wp14:editId="740BC176">
            <wp:extent cx="5334000" cy="2931458"/>
            <wp:effectExtent l="0" t="0" r="19050" b="2159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4187" w:rsidRDefault="00564187" w:rsidP="00592AC4">
      <w:pPr>
        <w:pStyle w:val="a3"/>
        <w:ind w:leftChars="0" w:left="0"/>
        <w:rPr>
          <w:noProof/>
        </w:rPr>
      </w:pPr>
    </w:p>
    <w:p w:rsidR="003104B0" w:rsidRPr="003104B0" w:rsidRDefault="003104B0" w:rsidP="00B90F69">
      <w:pPr>
        <w:rPr>
          <w:rFonts w:ascii="標楷體" w:eastAsia="標楷體" w:hAnsi="標楷體"/>
          <w:sz w:val="32"/>
          <w:szCs w:val="32"/>
        </w:rPr>
      </w:pPr>
      <w:r w:rsidRPr="003104B0">
        <w:rPr>
          <w:rFonts w:ascii="標楷體" w:eastAsia="標楷體" w:hAnsi="標楷體" w:hint="eastAsia"/>
          <w:sz w:val="32"/>
          <w:szCs w:val="32"/>
        </w:rPr>
        <w:t>(二)陳情</w:t>
      </w:r>
      <w:r w:rsidR="00ED29AD">
        <w:rPr>
          <w:rFonts w:ascii="標楷體" w:eastAsia="標楷體" w:hAnsi="標楷體" w:hint="eastAsia"/>
          <w:sz w:val="32"/>
          <w:szCs w:val="32"/>
        </w:rPr>
        <w:t>案件</w:t>
      </w:r>
      <w:r w:rsidRPr="003104B0">
        <w:rPr>
          <w:rFonts w:ascii="標楷體" w:eastAsia="標楷體" w:hAnsi="標楷體" w:hint="eastAsia"/>
          <w:sz w:val="32"/>
          <w:szCs w:val="32"/>
        </w:rPr>
        <w:t>類別</w:t>
      </w:r>
    </w:p>
    <w:p w:rsidR="003104B0" w:rsidRPr="00C0676E" w:rsidRDefault="003104B0" w:rsidP="00564187">
      <w:pPr>
        <w:pStyle w:val="a3"/>
        <w:ind w:leftChars="250" w:left="600"/>
        <w:jc w:val="both"/>
        <w:rPr>
          <w:rFonts w:ascii="標楷體" w:eastAsia="標楷體" w:cs="標楷體"/>
          <w:color w:val="FF0000"/>
          <w:kern w:val="0"/>
          <w:sz w:val="32"/>
          <w:szCs w:val="32"/>
        </w:rPr>
      </w:pPr>
      <w:r w:rsidRPr="00C0676E">
        <w:rPr>
          <w:rFonts w:ascii="標楷體" w:eastAsia="標楷體" w:cs="標楷體" w:hint="eastAsia"/>
          <w:color w:val="FF0000"/>
          <w:kern w:val="0"/>
          <w:sz w:val="32"/>
          <w:szCs w:val="32"/>
        </w:rPr>
        <w:t>興革建議</w:t>
      </w:r>
      <w:r w:rsidR="00B47C44">
        <w:rPr>
          <w:rFonts w:ascii="標楷體" w:eastAsia="標楷體" w:cs="標楷體" w:hint="eastAsia"/>
          <w:color w:val="FF0000"/>
          <w:kern w:val="0"/>
          <w:sz w:val="32"/>
          <w:szCs w:val="32"/>
        </w:rPr>
        <w:t>57</w:t>
      </w:r>
      <w:r w:rsidR="004D70E9" w:rsidRPr="00C0676E">
        <w:rPr>
          <w:rFonts w:ascii="標楷體" w:eastAsia="標楷體" w:cs="標楷體" w:hint="eastAsia"/>
          <w:color w:val="FF0000"/>
          <w:kern w:val="0"/>
          <w:sz w:val="32"/>
          <w:szCs w:val="32"/>
        </w:rPr>
        <w:t>件</w:t>
      </w:r>
      <w:r w:rsidRPr="00C0676E">
        <w:rPr>
          <w:rFonts w:ascii="標楷體" w:eastAsia="標楷體" w:cs="標楷體" w:hint="eastAsia"/>
          <w:color w:val="FF0000"/>
          <w:kern w:val="0"/>
          <w:sz w:val="32"/>
          <w:szCs w:val="32"/>
        </w:rPr>
        <w:t>、民眾權益維護</w:t>
      </w:r>
      <w:r w:rsidR="00B47C44">
        <w:rPr>
          <w:rFonts w:ascii="標楷體" w:eastAsia="標楷體" w:cs="標楷體" w:hint="eastAsia"/>
          <w:color w:val="FF0000"/>
          <w:kern w:val="0"/>
          <w:sz w:val="32"/>
          <w:szCs w:val="32"/>
        </w:rPr>
        <w:t>26</w:t>
      </w:r>
      <w:r w:rsidRPr="00C0676E">
        <w:rPr>
          <w:rFonts w:ascii="標楷體" w:eastAsia="標楷體" w:cs="標楷體" w:hint="eastAsia"/>
          <w:color w:val="FF0000"/>
          <w:kern w:val="0"/>
          <w:sz w:val="32"/>
          <w:szCs w:val="32"/>
        </w:rPr>
        <w:t>、法令查詢</w:t>
      </w:r>
      <w:r w:rsidR="00B47C44">
        <w:rPr>
          <w:rFonts w:ascii="標楷體" w:eastAsia="標楷體" w:cs="標楷體" w:hint="eastAsia"/>
          <w:color w:val="FF0000"/>
          <w:kern w:val="0"/>
          <w:sz w:val="32"/>
          <w:szCs w:val="32"/>
        </w:rPr>
        <w:t>0</w:t>
      </w:r>
      <w:r w:rsidRPr="00C0676E">
        <w:rPr>
          <w:rFonts w:ascii="標楷體" w:eastAsia="標楷體" w:cs="標楷體" w:hint="eastAsia"/>
          <w:color w:val="FF0000"/>
          <w:kern w:val="0"/>
          <w:sz w:val="32"/>
          <w:szCs w:val="32"/>
        </w:rPr>
        <w:t>件、違失舉發</w:t>
      </w:r>
      <w:r w:rsidR="009955DC" w:rsidRPr="00C0676E">
        <w:rPr>
          <w:rFonts w:ascii="標楷體" w:eastAsia="標楷體" w:cs="標楷體" w:hint="eastAsia"/>
          <w:color w:val="FF0000"/>
          <w:kern w:val="0"/>
          <w:sz w:val="32"/>
          <w:szCs w:val="32"/>
        </w:rPr>
        <w:t>0</w:t>
      </w:r>
      <w:r w:rsidRPr="00C0676E">
        <w:rPr>
          <w:rFonts w:ascii="標楷體" w:eastAsia="標楷體" w:cs="標楷體" w:hint="eastAsia"/>
          <w:color w:val="FF0000"/>
          <w:kern w:val="0"/>
          <w:sz w:val="32"/>
          <w:szCs w:val="32"/>
        </w:rPr>
        <w:t>件。</w:t>
      </w:r>
    </w:p>
    <w:p w:rsidR="003104B0" w:rsidRPr="003104B0" w:rsidRDefault="00327B56" w:rsidP="00564187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327B56">
        <w:rPr>
          <w:rFonts w:ascii="標楷體" w:eastAsia="標楷體" w:hAnsi="標楷體" w:hint="eastAsia"/>
          <w:sz w:val="32"/>
          <w:szCs w:val="32"/>
        </w:rPr>
        <w:t>10</w:t>
      </w:r>
      <w:r w:rsidR="00C0676E">
        <w:rPr>
          <w:rFonts w:ascii="標楷體" w:eastAsia="標楷體" w:hAnsi="標楷體" w:hint="eastAsia"/>
          <w:sz w:val="32"/>
          <w:szCs w:val="32"/>
        </w:rPr>
        <w:t>7</w:t>
      </w:r>
      <w:proofErr w:type="gramEnd"/>
      <w:r w:rsidRPr="00327B56">
        <w:rPr>
          <w:rFonts w:ascii="標楷體" w:eastAsia="標楷體" w:hAnsi="標楷體" w:hint="eastAsia"/>
          <w:sz w:val="32"/>
          <w:szCs w:val="32"/>
        </w:rPr>
        <w:t>年度</w:t>
      </w:r>
      <w:r w:rsidR="003104B0" w:rsidRPr="003104B0">
        <w:rPr>
          <w:rFonts w:ascii="標楷體" w:eastAsia="標楷體" w:hAnsi="標楷體" w:hint="eastAsia"/>
          <w:sz w:val="32"/>
          <w:szCs w:val="32"/>
        </w:rPr>
        <w:t>人民陳情案件類別統計表</w:t>
      </w:r>
    </w:p>
    <w:tbl>
      <w:tblPr>
        <w:tblW w:w="8956" w:type="dxa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507"/>
        <w:gridCol w:w="1508"/>
        <w:gridCol w:w="1507"/>
        <w:gridCol w:w="1508"/>
        <w:gridCol w:w="1508"/>
      </w:tblGrid>
      <w:tr w:rsidR="003104B0" w:rsidRPr="003104B0" w:rsidTr="00564187">
        <w:trPr>
          <w:trHeight w:val="34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4B0" w:rsidRPr="003104B0" w:rsidRDefault="003104B0" w:rsidP="0056418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4B0">
              <w:rPr>
                <w:rFonts w:ascii="標楷體" w:eastAsia="標楷體" w:hAnsi="標楷體" w:hint="eastAsia"/>
                <w:sz w:val="32"/>
                <w:szCs w:val="32"/>
              </w:rPr>
              <w:t>案件類別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4B0" w:rsidRPr="003104B0" w:rsidRDefault="003104B0" w:rsidP="0056418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4B0">
              <w:rPr>
                <w:rFonts w:ascii="標楷體" w:eastAsia="標楷體" w:hAnsi="標楷體" w:hint="eastAsia"/>
                <w:sz w:val="32"/>
                <w:szCs w:val="32"/>
              </w:rPr>
              <w:t>興革事項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4B0" w:rsidRPr="003104B0" w:rsidRDefault="00564187" w:rsidP="0056418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4B0">
              <w:rPr>
                <w:rFonts w:ascii="標楷體" w:eastAsia="標楷體" w:hAnsi="標楷體" w:hint="eastAsia"/>
                <w:sz w:val="32"/>
                <w:szCs w:val="32"/>
              </w:rPr>
              <w:t>權益維護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4B0" w:rsidRPr="003104B0" w:rsidRDefault="003104B0" w:rsidP="0056418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4B0">
              <w:rPr>
                <w:rFonts w:ascii="標楷體" w:eastAsia="標楷體" w:hAnsi="標楷體" w:hint="eastAsia"/>
                <w:sz w:val="32"/>
                <w:szCs w:val="32"/>
              </w:rPr>
              <w:t>違失舉發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4B0" w:rsidRPr="003104B0" w:rsidRDefault="00564187" w:rsidP="0056418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4B0">
              <w:rPr>
                <w:rFonts w:ascii="標楷體" w:eastAsia="標楷體" w:hAnsi="標楷體" w:hint="eastAsia"/>
                <w:sz w:val="32"/>
                <w:szCs w:val="32"/>
              </w:rPr>
              <w:t>法令查詢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4B0" w:rsidRPr="003104B0" w:rsidRDefault="003104B0" w:rsidP="0056418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4B0">
              <w:rPr>
                <w:rFonts w:ascii="標楷體" w:eastAsia="標楷體" w:hAnsi="標楷體" w:hint="eastAsia"/>
                <w:sz w:val="32"/>
                <w:szCs w:val="32"/>
              </w:rPr>
              <w:t>總件數</w:t>
            </w:r>
          </w:p>
        </w:tc>
      </w:tr>
      <w:tr w:rsidR="003104B0" w:rsidRPr="003104B0" w:rsidTr="00564187"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4B0" w:rsidRPr="003104B0" w:rsidRDefault="003104B0" w:rsidP="0056418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4B0">
              <w:rPr>
                <w:rFonts w:ascii="標楷體" w:eastAsia="標楷體" w:hAnsi="標楷體" w:hint="eastAsia"/>
                <w:sz w:val="32"/>
                <w:szCs w:val="32"/>
              </w:rPr>
              <w:t>處理件數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4B0" w:rsidRPr="003104B0" w:rsidRDefault="00B47C44" w:rsidP="0077177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4B0" w:rsidRPr="003104B0" w:rsidRDefault="0077177F" w:rsidP="0077177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B47C44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4B0" w:rsidRPr="003104B0" w:rsidRDefault="004014D1" w:rsidP="0056418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4B0" w:rsidRPr="003104B0" w:rsidRDefault="00B47C44" w:rsidP="0077177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4B0" w:rsidRPr="003104B0" w:rsidRDefault="00B47C44" w:rsidP="0077177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83</w:t>
            </w:r>
          </w:p>
        </w:tc>
      </w:tr>
      <w:tr w:rsidR="003104B0" w:rsidRPr="003104B0" w:rsidTr="00564187"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4B0" w:rsidRPr="003104B0" w:rsidRDefault="003104B0" w:rsidP="0056418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4B0">
              <w:rPr>
                <w:rFonts w:ascii="標楷體" w:eastAsia="標楷體" w:hAnsi="標楷體" w:hint="eastAsia"/>
                <w:sz w:val="32"/>
                <w:szCs w:val="32"/>
              </w:rPr>
              <w:t>百分比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4B0" w:rsidRPr="00B47C44" w:rsidRDefault="00B47C44" w:rsidP="00B47C44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68.67</w:t>
            </w:r>
            <w:r w:rsidR="003104B0" w:rsidRPr="00B47C44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%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4B0" w:rsidRPr="00B47C44" w:rsidRDefault="00B47C44" w:rsidP="00B47C44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31.33</w:t>
            </w:r>
            <w:r w:rsidR="003104B0" w:rsidRPr="00B47C44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%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4B0" w:rsidRPr="003104B0" w:rsidRDefault="004014D1" w:rsidP="0056418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3104B0" w:rsidRPr="003104B0"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3104B0" w:rsidRPr="003104B0">
              <w:rPr>
                <w:rFonts w:ascii="標楷體" w:eastAsia="標楷體" w:hAnsi="標楷體" w:hint="eastAsia"/>
                <w:sz w:val="32"/>
                <w:szCs w:val="32"/>
              </w:rPr>
              <w:t>%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4B0" w:rsidRPr="003104B0" w:rsidRDefault="00B47C44" w:rsidP="00B47C4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0.0</w:t>
            </w:r>
            <w:r w:rsidR="003104B0" w:rsidRPr="003104B0">
              <w:rPr>
                <w:rFonts w:ascii="標楷體" w:eastAsia="標楷體" w:hAnsi="標楷體" w:hint="eastAsia"/>
                <w:sz w:val="32"/>
                <w:szCs w:val="32"/>
              </w:rPr>
              <w:t>%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4B0" w:rsidRPr="003104B0" w:rsidRDefault="003104B0" w:rsidP="0056418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4B0">
              <w:rPr>
                <w:rFonts w:ascii="標楷體" w:eastAsia="標楷體" w:hAnsi="標楷體" w:hint="eastAsia"/>
                <w:sz w:val="32"/>
                <w:szCs w:val="32"/>
              </w:rPr>
              <w:t>100.00%</w:t>
            </w:r>
          </w:p>
        </w:tc>
      </w:tr>
    </w:tbl>
    <w:p w:rsidR="003104B0" w:rsidRDefault="003104B0" w:rsidP="006F20D3">
      <w:pPr>
        <w:pStyle w:val="a3"/>
        <w:ind w:leftChars="0" w:left="1440"/>
        <w:rPr>
          <w:rFonts w:ascii="標楷體" w:eastAsia="標楷體" w:hAnsi="標楷體"/>
          <w:sz w:val="32"/>
          <w:szCs w:val="32"/>
        </w:rPr>
      </w:pPr>
    </w:p>
    <w:p w:rsidR="00327B56" w:rsidRDefault="008B4558" w:rsidP="00624642">
      <w:pPr>
        <w:pStyle w:val="a3"/>
        <w:ind w:leftChars="150" w:left="360"/>
        <w:rPr>
          <w:rFonts w:ascii="標楷體" w:eastAsia="標楷體" w:hAnsi="標楷體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9441264" wp14:editId="3C0C1F28">
            <wp:extent cx="5448300" cy="3379470"/>
            <wp:effectExtent l="0" t="0" r="19050" b="1143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2AC4" w:rsidRDefault="00592AC4" w:rsidP="00592AC4">
      <w:pPr>
        <w:pStyle w:val="a3"/>
        <w:ind w:leftChars="0" w:left="0"/>
        <w:rPr>
          <w:rFonts w:ascii="標楷體" w:eastAsia="標楷體" w:hAnsi="標楷體"/>
          <w:sz w:val="32"/>
          <w:szCs w:val="32"/>
        </w:rPr>
      </w:pPr>
    </w:p>
    <w:p w:rsidR="00943140" w:rsidRPr="00943140" w:rsidRDefault="00943140" w:rsidP="00943140">
      <w:pPr>
        <w:rPr>
          <w:rFonts w:ascii="標楷體" w:eastAsia="標楷體" w:hAnsi="標楷體"/>
          <w:sz w:val="32"/>
          <w:szCs w:val="32"/>
        </w:rPr>
      </w:pPr>
      <w:r w:rsidRPr="00943140">
        <w:rPr>
          <w:rFonts w:ascii="標楷體" w:eastAsia="標楷體" w:hAnsi="標楷體" w:hint="eastAsia"/>
          <w:sz w:val="32"/>
          <w:szCs w:val="32"/>
        </w:rPr>
        <w:t>(</w:t>
      </w:r>
      <w:r w:rsidR="00ED29AD">
        <w:rPr>
          <w:rFonts w:ascii="標楷體" w:eastAsia="標楷體" w:hAnsi="標楷體" w:hint="eastAsia"/>
          <w:sz w:val="32"/>
          <w:szCs w:val="32"/>
        </w:rPr>
        <w:t>三</w:t>
      </w:r>
      <w:r w:rsidRPr="00943140">
        <w:rPr>
          <w:rFonts w:ascii="標楷體" w:eastAsia="標楷體" w:hAnsi="標楷體" w:hint="eastAsia"/>
          <w:sz w:val="32"/>
          <w:szCs w:val="32"/>
        </w:rPr>
        <w:t>)陳情人性別分析</w:t>
      </w:r>
    </w:p>
    <w:p w:rsidR="00943140" w:rsidRDefault="00943140" w:rsidP="008B35BB">
      <w:pPr>
        <w:pStyle w:val="a3"/>
        <w:ind w:leftChars="250" w:left="600"/>
        <w:jc w:val="both"/>
        <w:rPr>
          <w:rFonts w:ascii="標楷體" w:eastAsia="標楷體" w:cs="標楷體"/>
          <w:kern w:val="0"/>
          <w:sz w:val="32"/>
          <w:szCs w:val="32"/>
        </w:rPr>
      </w:pPr>
      <w:proofErr w:type="gramStart"/>
      <w:r w:rsidRPr="008B35BB">
        <w:rPr>
          <w:rFonts w:ascii="標楷體" w:eastAsia="標楷體" w:cs="標楷體" w:hint="eastAsia"/>
          <w:kern w:val="0"/>
          <w:sz w:val="32"/>
          <w:szCs w:val="32"/>
        </w:rPr>
        <w:t>10</w:t>
      </w:r>
      <w:r w:rsidR="00B47C44">
        <w:rPr>
          <w:rFonts w:ascii="標楷體" w:eastAsia="標楷體" w:cs="標楷體" w:hint="eastAsia"/>
          <w:kern w:val="0"/>
          <w:sz w:val="32"/>
          <w:szCs w:val="32"/>
        </w:rPr>
        <w:t>7</w:t>
      </w:r>
      <w:proofErr w:type="gramEnd"/>
      <w:r w:rsidRPr="008B35BB">
        <w:rPr>
          <w:rFonts w:ascii="標楷體" w:eastAsia="標楷體" w:cs="標楷體" w:hint="eastAsia"/>
          <w:kern w:val="0"/>
          <w:sz w:val="32"/>
          <w:szCs w:val="32"/>
        </w:rPr>
        <w:t>年</w:t>
      </w:r>
      <w:r w:rsidR="00A746E1" w:rsidRPr="008B35BB">
        <w:rPr>
          <w:rFonts w:ascii="標楷體" w:eastAsia="標楷體" w:cs="標楷體" w:hint="eastAsia"/>
          <w:kern w:val="0"/>
          <w:sz w:val="32"/>
          <w:szCs w:val="32"/>
        </w:rPr>
        <w:t>度</w:t>
      </w:r>
      <w:r w:rsidRPr="008B35BB">
        <w:rPr>
          <w:rFonts w:ascii="標楷體" w:eastAsia="標楷體" w:cs="標楷體" w:hint="eastAsia"/>
          <w:kern w:val="0"/>
          <w:sz w:val="32"/>
          <w:szCs w:val="32"/>
        </w:rPr>
        <w:t>共計受理</w:t>
      </w:r>
      <w:r w:rsidR="00B47C44">
        <w:rPr>
          <w:rFonts w:ascii="標楷體" w:eastAsia="標楷體" w:cs="標楷體" w:hint="eastAsia"/>
          <w:kern w:val="0"/>
          <w:sz w:val="32"/>
          <w:szCs w:val="32"/>
        </w:rPr>
        <w:t>83</w:t>
      </w:r>
      <w:r w:rsidRPr="008B35BB">
        <w:rPr>
          <w:rFonts w:ascii="標楷體" w:eastAsia="標楷體" w:cs="標楷體" w:hint="eastAsia"/>
          <w:kern w:val="0"/>
          <w:sz w:val="32"/>
          <w:szCs w:val="32"/>
        </w:rPr>
        <w:t>陳情案件，其中男性陳情</w:t>
      </w:r>
      <w:r w:rsidR="00B47C44">
        <w:rPr>
          <w:rFonts w:ascii="標楷體" w:eastAsia="標楷體" w:cs="標楷體" w:hint="eastAsia"/>
          <w:kern w:val="0"/>
          <w:sz w:val="32"/>
          <w:szCs w:val="32"/>
        </w:rPr>
        <w:t>44</w:t>
      </w:r>
      <w:r w:rsidRPr="008B35BB">
        <w:rPr>
          <w:rFonts w:ascii="標楷體" w:eastAsia="標楷體" w:cs="標楷體" w:hint="eastAsia"/>
          <w:kern w:val="0"/>
          <w:sz w:val="32"/>
          <w:szCs w:val="32"/>
        </w:rPr>
        <w:t>件</w:t>
      </w:r>
      <w:r w:rsidR="00EA67BD">
        <w:rPr>
          <w:rFonts w:ascii="標楷體" w:eastAsia="標楷體" w:cs="標楷體" w:hint="eastAsia"/>
          <w:kern w:val="0"/>
          <w:sz w:val="32"/>
          <w:szCs w:val="32"/>
        </w:rPr>
        <w:t>，</w:t>
      </w:r>
      <w:r w:rsidR="003321E4" w:rsidRPr="008B35BB">
        <w:rPr>
          <w:rFonts w:ascii="標楷體" w:eastAsia="標楷體" w:cs="標楷體" w:hint="eastAsia"/>
          <w:kern w:val="0"/>
          <w:sz w:val="32"/>
          <w:szCs w:val="32"/>
        </w:rPr>
        <w:t>占</w:t>
      </w:r>
      <w:r w:rsidR="0077177F" w:rsidRPr="00B47C44">
        <w:rPr>
          <w:rFonts w:ascii="標楷體" w:eastAsia="標楷體" w:cs="標楷體" w:hint="eastAsia"/>
          <w:color w:val="FF0000"/>
          <w:kern w:val="0"/>
          <w:sz w:val="32"/>
          <w:szCs w:val="32"/>
        </w:rPr>
        <w:t>62</w:t>
      </w:r>
      <w:r w:rsidR="003321E4" w:rsidRPr="00B47C44">
        <w:rPr>
          <w:rFonts w:ascii="標楷體" w:eastAsia="標楷體" w:cs="標楷體" w:hint="eastAsia"/>
          <w:color w:val="FF0000"/>
          <w:kern w:val="0"/>
          <w:sz w:val="32"/>
          <w:szCs w:val="32"/>
        </w:rPr>
        <w:t>.</w:t>
      </w:r>
      <w:r w:rsidR="0077177F" w:rsidRPr="00B47C44">
        <w:rPr>
          <w:rFonts w:ascii="標楷體" w:eastAsia="標楷體" w:cs="標楷體" w:hint="eastAsia"/>
          <w:color w:val="FF0000"/>
          <w:kern w:val="0"/>
          <w:sz w:val="32"/>
          <w:szCs w:val="32"/>
        </w:rPr>
        <w:t>5</w:t>
      </w:r>
      <w:r w:rsidR="00EA67BD" w:rsidRPr="00B47C44">
        <w:rPr>
          <w:rFonts w:ascii="標楷體" w:eastAsia="標楷體" w:cs="標楷體" w:hint="eastAsia"/>
          <w:color w:val="FF0000"/>
          <w:kern w:val="0"/>
          <w:sz w:val="32"/>
          <w:szCs w:val="32"/>
        </w:rPr>
        <w:t>0</w:t>
      </w:r>
      <w:r w:rsidR="003321E4" w:rsidRPr="00B47C44">
        <w:rPr>
          <w:rFonts w:ascii="標楷體" w:eastAsia="標楷體" w:cs="標楷體" w:hint="eastAsia"/>
          <w:color w:val="FF0000"/>
          <w:kern w:val="0"/>
          <w:sz w:val="32"/>
          <w:szCs w:val="32"/>
        </w:rPr>
        <w:t>％</w:t>
      </w:r>
      <w:r w:rsidRPr="008B35BB">
        <w:rPr>
          <w:rFonts w:ascii="標楷體" w:eastAsia="標楷體" w:cs="標楷體" w:hint="eastAsia"/>
          <w:kern w:val="0"/>
          <w:sz w:val="32"/>
          <w:szCs w:val="32"/>
        </w:rPr>
        <w:t>，女性陳情</w:t>
      </w:r>
      <w:r w:rsidR="00B47C44">
        <w:rPr>
          <w:rFonts w:ascii="標楷體" w:eastAsia="標楷體" w:cs="標楷體" w:hint="eastAsia"/>
          <w:kern w:val="0"/>
          <w:sz w:val="32"/>
          <w:szCs w:val="32"/>
        </w:rPr>
        <w:t>29</w:t>
      </w:r>
      <w:r w:rsidRPr="008B35BB">
        <w:rPr>
          <w:rFonts w:ascii="標楷體" w:eastAsia="標楷體" w:cs="標楷體" w:hint="eastAsia"/>
          <w:kern w:val="0"/>
          <w:sz w:val="32"/>
          <w:szCs w:val="32"/>
        </w:rPr>
        <w:t>件</w:t>
      </w:r>
      <w:r w:rsidR="003321E4" w:rsidRPr="008B35BB">
        <w:rPr>
          <w:rFonts w:ascii="標楷體" w:eastAsia="標楷體" w:cs="標楷體" w:hint="eastAsia"/>
          <w:kern w:val="0"/>
          <w:sz w:val="32"/>
          <w:szCs w:val="32"/>
        </w:rPr>
        <w:t>占</w:t>
      </w:r>
      <w:r w:rsidR="00EA67BD" w:rsidRPr="00B47C44">
        <w:rPr>
          <w:rFonts w:ascii="標楷體" w:eastAsia="標楷體" w:cs="標楷體" w:hint="eastAsia"/>
          <w:color w:val="FF0000"/>
          <w:kern w:val="0"/>
          <w:sz w:val="32"/>
          <w:szCs w:val="32"/>
        </w:rPr>
        <w:t>3</w:t>
      </w:r>
      <w:r w:rsidR="0077177F" w:rsidRPr="00B47C44">
        <w:rPr>
          <w:rFonts w:ascii="標楷體" w:eastAsia="標楷體" w:cs="標楷體" w:hint="eastAsia"/>
          <w:color w:val="FF0000"/>
          <w:kern w:val="0"/>
          <w:sz w:val="32"/>
          <w:szCs w:val="32"/>
        </w:rPr>
        <w:t>3.08</w:t>
      </w:r>
      <w:r w:rsidR="003321E4" w:rsidRPr="008B35BB">
        <w:rPr>
          <w:rFonts w:ascii="標楷體" w:eastAsia="標楷體" w:cs="標楷體" w:hint="eastAsia"/>
          <w:kern w:val="0"/>
          <w:sz w:val="32"/>
          <w:szCs w:val="32"/>
        </w:rPr>
        <w:t>％</w:t>
      </w:r>
      <w:r w:rsidRPr="008B35BB">
        <w:rPr>
          <w:rFonts w:ascii="標楷體" w:eastAsia="標楷體" w:cs="標楷體" w:hint="eastAsia"/>
          <w:kern w:val="0"/>
          <w:sz w:val="32"/>
          <w:szCs w:val="32"/>
        </w:rPr>
        <w:t>，</w:t>
      </w:r>
      <w:r w:rsidR="00B47C44">
        <w:rPr>
          <w:rFonts w:ascii="標楷體" w:eastAsia="標楷體" w:cs="標楷體" w:hint="eastAsia"/>
          <w:kern w:val="0"/>
          <w:sz w:val="32"/>
          <w:szCs w:val="32"/>
        </w:rPr>
        <w:t>10</w:t>
      </w:r>
      <w:r w:rsidRPr="008B35BB">
        <w:rPr>
          <w:rFonts w:ascii="標楷體" w:eastAsia="標楷體" w:cs="標楷體" w:hint="eastAsia"/>
          <w:kern w:val="0"/>
          <w:sz w:val="32"/>
          <w:szCs w:val="32"/>
        </w:rPr>
        <w:t>件未表明性別。</w:t>
      </w:r>
    </w:p>
    <w:tbl>
      <w:tblPr>
        <w:tblW w:w="922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6"/>
        <w:gridCol w:w="1546"/>
        <w:gridCol w:w="1546"/>
        <w:gridCol w:w="1546"/>
        <w:gridCol w:w="3045"/>
      </w:tblGrid>
      <w:tr w:rsidR="008B35BB" w:rsidRPr="008B35BB" w:rsidTr="008B35BB">
        <w:trPr>
          <w:trHeight w:val="444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5BB" w:rsidRPr="008B35BB" w:rsidRDefault="008B35BB" w:rsidP="008B3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B35B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人民陳情案件陳情人性別統計表</w:t>
            </w:r>
          </w:p>
        </w:tc>
      </w:tr>
      <w:tr w:rsidR="008B35BB" w:rsidRPr="008B35BB" w:rsidTr="008B35BB">
        <w:trPr>
          <w:trHeight w:val="44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B" w:rsidRPr="008B35BB" w:rsidRDefault="008B35BB" w:rsidP="008B3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B35B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案件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B" w:rsidRPr="008B35BB" w:rsidRDefault="008B35BB" w:rsidP="008B3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B35B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B" w:rsidRPr="008B35BB" w:rsidRDefault="008B35BB" w:rsidP="008B3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B35B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B" w:rsidRPr="008B35BB" w:rsidRDefault="008B35BB" w:rsidP="008B3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B35B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無表示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B" w:rsidRPr="008B35BB" w:rsidRDefault="008B35BB" w:rsidP="008B3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B35B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總件數</w:t>
            </w:r>
          </w:p>
        </w:tc>
      </w:tr>
      <w:tr w:rsidR="008B35BB" w:rsidRPr="008B35BB" w:rsidTr="008B35BB">
        <w:trPr>
          <w:trHeight w:val="72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B" w:rsidRPr="008B35BB" w:rsidRDefault="008B35BB" w:rsidP="008B3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B35B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件數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B" w:rsidRPr="008B35BB" w:rsidRDefault="00B47C44" w:rsidP="00771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B" w:rsidRPr="008B35BB" w:rsidRDefault="00B47C44" w:rsidP="00771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B" w:rsidRPr="008B35BB" w:rsidRDefault="00B47C44" w:rsidP="00771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B" w:rsidRPr="008B35BB" w:rsidRDefault="00B47C44" w:rsidP="007717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83</w:t>
            </w:r>
          </w:p>
        </w:tc>
      </w:tr>
      <w:tr w:rsidR="008B35BB" w:rsidRPr="008B35BB" w:rsidTr="008B35BB">
        <w:trPr>
          <w:trHeight w:val="444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B" w:rsidRPr="008B35BB" w:rsidRDefault="008B35BB" w:rsidP="008B3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B35B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百分比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B" w:rsidRPr="00B47C44" w:rsidRDefault="00586917" w:rsidP="0058691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53.01</w:t>
            </w:r>
            <w:r w:rsidR="008B35BB" w:rsidRPr="00B47C44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B" w:rsidRPr="00B47C44" w:rsidRDefault="0077177F" w:rsidP="0058691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B47C44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3</w:t>
            </w:r>
            <w:r w:rsidR="00586917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4.94</w:t>
            </w:r>
            <w:r w:rsidR="008B35BB" w:rsidRPr="00B47C44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B" w:rsidRPr="00B47C44" w:rsidRDefault="00586917" w:rsidP="0058691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12.05</w:t>
            </w:r>
            <w:r w:rsidR="008B35BB" w:rsidRPr="00B47C44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%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B" w:rsidRPr="008B35BB" w:rsidRDefault="008B35BB" w:rsidP="008B3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B35B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100.00%</w:t>
            </w:r>
          </w:p>
        </w:tc>
      </w:tr>
    </w:tbl>
    <w:p w:rsidR="008B35BB" w:rsidRPr="008B35BB" w:rsidRDefault="008B35BB" w:rsidP="008B35BB">
      <w:pPr>
        <w:pStyle w:val="a3"/>
        <w:ind w:leftChars="250" w:left="600"/>
        <w:jc w:val="both"/>
        <w:rPr>
          <w:rFonts w:ascii="標楷體" w:eastAsia="標楷體" w:cs="標楷體"/>
          <w:kern w:val="0"/>
          <w:sz w:val="32"/>
          <w:szCs w:val="32"/>
        </w:rPr>
      </w:pPr>
    </w:p>
    <w:p w:rsidR="002A1F58" w:rsidRDefault="008B4558" w:rsidP="008B35BB">
      <w:pPr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111EC4F" wp14:editId="27956D1F">
            <wp:extent cx="5356860" cy="3025140"/>
            <wp:effectExtent l="0" t="0" r="15240" b="22860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104B0" w:rsidRPr="00327B56" w:rsidRDefault="00826B93" w:rsidP="00327B5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327B56">
        <w:rPr>
          <w:rFonts w:ascii="標楷體" w:eastAsia="標楷體" w:hAnsi="標楷體" w:hint="eastAsia"/>
          <w:sz w:val="32"/>
          <w:szCs w:val="32"/>
        </w:rPr>
        <w:t>、陳情案件</w:t>
      </w:r>
      <w:r>
        <w:rPr>
          <w:rFonts w:ascii="標楷體" w:eastAsia="標楷體" w:hAnsi="標楷體" w:hint="eastAsia"/>
          <w:sz w:val="32"/>
          <w:szCs w:val="32"/>
        </w:rPr>
        <w:t>處理滿意分析</w:t>
      </w:r>
    </w:p>
    <w:p w:rsidR="003104B0" w:rsidRDefault="00327B56" w:rsidP="005C2D32">
      <w:pPr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民眾</w:t>
      </w:r>
      <w:r w:rsidR="00F43F12">
        <w:rPr>
          <w:rFonts w:ascii="標楷體" w:eastAsia="標楷體" w:hAnsi="標楷體" w:hint="eastAsia"/>
          <w:sz w:val="32"/>
          <w:szCs w:val="32"/>
        </w:rPr>
        <w:t>陳情案件</w:t>
      </w:r>
      <w:r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F43F12">
        <w:rPr>
          <w:rFonts w:ascii="標楷體" w:eastAsia="標楷體" w:hAnsi="標楷體" w:hint="eastAsia"/>
          <w:sz w:val="32"/>
          <w:szCs w:val="32"/>
        </w:rPr>
        <w:t>均</w:t>
      </w:r>
      <w:r>
        <w:rPr>
          <w:rFonts w:ascii="標楷體" w:eastAsia="標楷體" w:hAnsi="標楷體" w:hint="eastAsia"/>
          <w:sz w:val="32"/>
          <w:szCs w:val="32"/>
        </w:rPr>
        <w:t>依公文</w:t>
      </w:r>
      <w:proofErr w:type="gramEnd"/>
      <w:r>
        <w:rPr>
          <w:rFonts w:ascii="標楷體" w:eastAsia="標楷體" w:hAnsi="標楷體" w:hint="eastAsia"/>
          <w:sz w:val="32"/>
          <w:szCs w:val="32"/>
        </w:rPr>
        <w:t>處理時效規定快速處理，</w:t>
      </w:r>
      <w:proofErr w:type="gramStart"/>
      <w:r w:rsidR="00890320">
        <w:rPr>
          <w:rFonts w:ascii="標楷體" w:eastAsia="標楷體" w:hAnsi="標楷體" w:hint="eastAsia"/>
          <w:sz w:val="32"/>
          <w:szCs w:val="32"/>
        </w:rPr>
        <w:t>10</w:t>
      </w:r>
      <w:r w:rsidR="00586917">
        <w:rPr>
          <w:rFonts w:ascii="標楷體" w:eastAsia="標楷體" w:hAnsi="標楷體" w:hint="eastAsia"/>
          <w:sz w:val="32"/>
          <w:szCs w:val="32"/>
        </w:rPr>
        <w:t>7</w:t>
      </w:r>
      <w:proofErr w:type="gramEnd"/>
      <w:r>
        <w:rPr>
          <w:rFonts w:ascii="標楷體" w:eastAsia="標楷體" w:hAnsi="標楷體" w:hint="eastAsia"/>
          <w:sz w:val="32"/>
          <w:szCs w:val="32"/>
        </w:rPr>
        <w:t>年度人民陳</w:t>
      </w:r>
      <w:r w:rsidR="008B0903">
        <w:rPr>
          <w:rFonts w:ascii="標楷體" w:eastAsia="標楷體" w:hAnsi="標楷體" w:hint="eastAsia"/>
          <w:sz w:val="32"/>
          <w:szCs w:val="32"/>
        </w:rPr>
        <w:t>情</w:t>
      </w:r>
      <w:proofErr w:type="gramStart"/>
      <w:r w:rsidR="008B0903">
        <w:rPr>
          <w:rFonts w:ascii="標楷體" w:eastAsia="標楷體" w:hAnsi="標楷體" w:hint="eastAsia"/>
          <w:sz w:val="32"/>
          <w:szCs w:val="32"/>
        </w:rPr>
        <w:t>案件均於期限</w:t>
      </w:r>
      <w:proofErr w:type="gramEnd"/>
      <w:r w:rsidR="008B0903">
        <w:rPr>
          <w:rFonts w:ascii="標楷體" w:eastAsia="標楷體" w:hAnsi="標楷體" w:hint="eastAsia"/>
          <w:sz w:val="32"/>
          <w:szCs w:val="32"/>
        </w:rPr>
        <w:t>內辦結，無逾期未結案件。</w:t>
      </w:r>
      <w:r w:rsidR="008B35BB">
        <w:rPr>
          <w:rFonts w:ascii="標楷體" w:eastAsia="標楷體" w:hAnsi="標楷體" w:hint="eastAsia"/>
          <w:sz w:val="32"/>
          <w:szCs w:val="32"/>
        </w:rPr>
        <w:t>尚無對於</w:t>
      </w:r>
      <w:r w:rsidR="00826B93">
        <w:rPr>
          <w:rFonts w:ascii="標楷體" w:eastAsia="標楷體" w:hAnsi="標楷體" w:hint="eastAsia"/>
          <w:sz w:val="32"/>
          <w:szCs w:val="32"/>
        </w:rPr>
        <w:t>陳情案件處理情形</w:t>
      </w:r>
      <w:r w:rsidR="008B35BB">
        <w:rPr>
          <w:rFonts w:ascii="標楷體" w:eastAsia="標楷體" w:hAnsi="標楷體" w:hint="eastAsia"/>
          <w:sz w:val="32"/>
          <w:szCs w:val="32"/>
        </w:rPr>
        <w:t>進行</w:t>
      </w:r>
      <w:r w:rsidR="00826B93">
        <w:rPr>
          <w:rFonts w:ascii="標楷體" w:eastAsia="標楷體" w:hAnsi="標楷體" w:hint="eastAsia"/>
          <w:sz w:val="32"/>
          <w:szCs w:val="32"/>
        </w:rPr>
        <w:t>調查，</w:t>
      </w:r>
      <w:r w:rsidR="00944D9F">
        <w:rPr>
          <w:rFonts w:ascii="標楷體" w:eastAsia="標楷體" w:hAnsi="標楷體" w:hint="eastAsia"/>
          <w:sz w:val="32"/>
          <w:szCs w:val="32"/>
        </w:rPr>
        <w:t>無法統計人民對陳情案件處理</w:t>
      </w:r>
      <w:r w:rsidR="00006613">
        <w:rPr>
          <w:rFonts w:ascii="標楷體" w:eastAsia="標楷體" w:hAnsi="標楷體" w:hint="eastAsia"/>
          <w:sz w:val="32"/>
          <w:szCs w:val="32"/>
        </w:rPr>
        <w:t>結果</w:t>
      </w:r>
      <w:r w:rsidR="00944D9F">
        <w:rPr>
          <w:rFonts w:ascii="標楷體" w:eastAsia="標楷體" w:hAnsi="標楷體" w:hint="eastAsia"/>
          <w:sz w:val="32"/>
          <w:szCs w:val="32"/>
        </w:rPr>
        <w:t>滿意度</w:t>
      </w:r>
      <w:r w:rsidR="00006613">
        <w:rPr>
          <w:rFonts w:ascii="標楷體" w:eastAsia="標楷體" w:hAnsi="標楷體" w:hint="eastAsia"/>
          <w:sz w:val="32"/>
          <w:szCs w:val="32"/>
        </w:rPr>
        <w:t>。</w:t>
      </w:r>
      <w:r w:rsidR="00006613">
        <w:rPr>
          <w:rFonts w:ascii="標楷體" w:eastAsia="標楷體" w:hAnsi="標楷體"/>
          <w:sz w:val="32"/>
          <w:szCs w:val="32"/>
        </w:rPr>
        <w:t xml:space="preserve"> </w:t>
      </w:r>
    </w:p>
    <w:p w:rsidR="008B0903" w:rsidRPr="006B6162" w:rsidRDefault="00826B93" w:rsidP="00826B93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32"/>
          <w:szCs w:val="32"/>
        </w:rPr>
      </w:pPr>
      <w:r w:rsidRPr="006B6162">
        <w:rPr>
          <w:rFonts w:ascii="標楷體" w:eastAsia="標楷體" w:hAnsi="標楷體" w:hint="eastAsia"/>
          <w:sz w:val="32"/>
          <w:szCs w:val="32"/>
        </w:rPr>
        <w:t>陳情案件處理結果檢討</w:t>
      </w:r>
    </w:p>
    <w:p w:rsidR="009C4B6C" w:rsidRPr="009C4B6C" w:rsidRDefault="009C4B6C" w:rsidP="009C4B6C">
      <w:pPr>
        <w:snapToGrid w:val="0"/>
        <w:spacing w:line="560" w:lineRule="exact"/>
        <w:ind w:left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941982" w:rsidRPr="009C4B6C">
        <w:rPr>
          <w:rFonts w:ascii="標楷體" w:eastAsia="標楷體" w:hAnsi="標楷體" w:hint="eastAsia"/>
          <w:sz w:val="32"/>
          <w:szCs w:val="32"/>
        </w:rPr>
        <w:t>本</w:t>
      </w:r>
      <w:r w:rsidR="0067639B" w:rsidRPr="009C4B6C">
        <w:rPr>
          <w:rFonts w:ascii="標楷體" w:eastAsia="標楷體" w:hAnsi="標楷體" w:hint="eastAsia"/>
          <w:sz w:val="32"/>
          <w:szCs w:val="32"/>
        </w:rPr>
        <w:t>站10</w:t>
      </w:r>
      <w:r w:rsidR="00B47C44">
        <w:rPr>
          <w:rFonts w:ascii="標楷體" w:eastAsia="標楷體" w:hAnsi="標楷體" w:hint="eastAsia"/>
          <w:sz w:val="32"/>
          <w:szCs w:val="32"/>
        </w:rPr>
        <w:t>7</w:t>
      </w:r>
      <w:r w:rsidR="0067639B" w:rsidRPr="009C4B6C">
        <w:rPr>
          <w:rFonts w:ascii="標楷體" w:eastAsia="標楷體" w:hAnsi="標楷體" w:hint="eastAsia"/>
          <w:sz w:val="32"/>
          <w:szCs w:val="32"/>
        </w:rPr>
        <w:t>年受理件數達</w:t>
      </w:r>
      <w:r w:rsidR="00B47C44">
        <w:rPr>
          <w:rFonts w:ascii="標楷體" w:eastAsia="標楷體" w:hAnsi="標楷體" w:hint="eastAsia"/>
          <w:sz w:val="32"/>
          <w:szCs w:val="32"/>
        </w:rPr>
        <w:t>83</w:t>
      </w:r>
      <w:r w:rsidR="0067639B" w:rsidRPr="009C4B6C">
        <w:rPr>
          <w:rFonts w:ascii="標楷體" w:eastAsia="標楷體" w:hAnsi="標楷體" w:hint="eastAsia"/>
          <w:sz w:val="32"/>
          <w:szCs w:val="32"/>
        </w:rPr>
        <w:t>件，</w:t>
      </w:r>
      <w:r w:rsidRPr="009C4B6C">
        <w:rPr>
          <w:rFonts w:ascii="標楷體" w:eastAsia="標楷體" w:hAnsi="標楷體" w:hint="eastAsia"/>
          <w:sz w:val="32"/>
          <w:szCs w:val="32"/>
        </w:rPr>
        <w:t>分析擇要如下：</w:t>
      </w:r>
    </w:p>
    <w:p w:rsidR="009C4B6C" w:rsidRPr="009C4B6C" w:rsidRDefault="009C4B6C" w:rsidP="00A61600">
      <w:pPr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</w:t>
      </w:r>
      <w:r w:rsidRPr="009C4B6C">
        <w:rPr>
          <w:rFonts w:ascii="標楷體" w:eastAsia="標楷體" w:hAnsi="標楷體" w:hint="eastAsia"/>
          <w:sz w:val="32"/>
          <w:szCs w:val="32"/>
        </w:rPr>
        <w:t>航空公司部份：</w:t>
      </w:r>
      <w:r w:rsidR="0067639B" w:rsidRPr="009C4B6C">
        <w:rPr>
          <w:rFonts w:ascii="標楷體" w:eastAsia="標楷體" w:hAnsi="標楷體" w:hint="eastAsia"/>
          <w:sz w:val="32"/>
          <w:szCs w:val="32"/>
        </w:rPr>
        <w:t>有</w:t>
      </w:r>
      <w:r w:rsidR="00B706DF">
        <w:rPr>
          <w:rFonts w:ascii="標楷體" w:eastAsia="標楷體" w:hAnsi="標楷體" w:hint="eastAsia"/>
          <w:sz w:val="32"/>
          <w:szCs w:val="32"/>
        </w:rPr>
        <w:t>7</w:t>
      </w:r>
      <w:r w:rsidR="00A5149E" w:rsidRPr="009C4B6C">
        <w:rPr>
          <w:rFonts w:ascii="標楷體" w:eastAsia="標楷體" w:hAnsi="標楷體" w:hint="eastAsia"/>
          <w:sz w:val="32"/>
          <w:szCs w:val="32"/>
        </w:rPr>
        <w:t>件係民眾</w:t>
      </w:r>
      <w:r w:rsidR="00B706DF">
        <w:rPr>
          <w:rFonts w:ascii="標楷體" w:eastAsia="標楷體" w:hAnsi="標楷體" w:hint="eastAsia"/>
          <w:sz w:val="32"/>
          <w:szCs w:val="32"/>
        </w:rPr>
        <w:t>反映</w:t>
      </w:r>
      <w:r w:rsidR="00A5149E" w:rsidRPr="009C4B6C">
        <w:rPr>
          <w:rFonts w:ascii="標楷體" w:eastAsia="標楷體" w:hAnsi="標楷體" w:hint="eastAsia"/>
          <w:sz w:val="32"/>
          <w:szCs w:val="32"/>
        </w:rPr>
        <w:t>讚許航空公司</w:t>
      </w:r>
      <w:r w:rsidR="007818C5" w:rsidRPr="009C4B6C">
        <w:rPr>
          <w:rFonts w:ascii="標楷體" w:eastAsia="標楷體" w:hAnsi="標楷體" w:hint="eastAsia"/>
          <w:sz w:val="32"/>
          <w:szCs w:val="32"/>
        </w:rPr>
        <w:t>服務態度給予肯定，</w:t>
      </w:r>
      <w:proofErr w:type="gramStart"/>
      <w:r w:rsidR="007818C5" w:rsidRPr="009C4B6C">
        <w:rPr>
          <w:rFonts w:ascii="標楷體" w:eastAsia="標楷體" w:hAnsi="標楷體" w:hint="eastAsia"/>
          <w:sz w:val="32"/>
          <w:szCs w:val="32"/>
        </w:rPr>
        <w:t>均轉請</w:t>
      </w:r>
      <w:proofErr w:type="gramEnd"/>
      <w:r w:rsidR="007818C5" w:rsidRPr="009C4B6C">
        <w:rPr>
          <w:rFonts w:ascii="標楷體" w:eastAsia="標楷體" w:hAnsi="標楷體" w:hint="eastAsia"/>
          <w:sz w:val="32"/>
          <w:szCs w:val="32"/>
        </w:rPr>
        <w:t>航空公司續以保持優質服務</w:t>
      </w:r>
      <w:r w:rsidR="00693622" w:rsidRPr="009C4B6C">
        <w:rPr>
          <w:rFonts w:ascii="標楷體" w:eastAsia="標楷體" w:hAnsi="標楷體" w:hint="eastAsia"/>
          <w:sz w:val="32"/>
          <w:szCs w:val="32"/>
        </w:rPr>
        <w:t>；</w:t>
      </w:r>
      <w:r w:rsidRPr="009C4B6C">
        <w:rPr>
          <w:rFonts w:ascii="標楷體" w:eastAsia="標楷體" w:hAnsi="標楷體" w:hint="eastAsia"/>
          <w:sz w:val="32"/>
          <w:szCs w:val="32"/>
        </w:rPr>
        <w:t>不滿意部分有</w:t>
      </w:r>
      <w:r w:rsidR="00B706DF">
        <w:rPr>
          <w:rFonts w:ascii="標楷體" w:eastAsia="標楷體" w:hAnsi="標楷體" w:hint="eastAsia"/>
          <w:sz w:val="32"/>
          <w:szCs w:val="32"/>
        </w:rPr>
        <w:t>23</w:t>
      </w:r>
      <w:r w:rsidRPr="009C4B6C">
        <w:rPr>
          <w:rFonts w:ascii="標楷體" w:eastAsia="標楷體" w:hAnsi="標楷體" w:hint="eastAsia"/>
          <w:sz w:val="32"/>
          <w:szCs w:val="32"/>
        </w:rPr>
        <w:t>件，包括班機延誤、到離站資訊未即時更新、託運寵物過程未妥善處理、</w:t>
      </w:r>
      <w:r w:rsidR="00B706DF">
        <w:rPr>
          <w:rFonts w:ascii="標楷體" w:eastAsia="標楷體" w:hAnsi="標楷體" w:hint="eastAsia"/>
          <w:sz w:val="32"/>
          <w:szCs w:val="32"/>
        </w:rPr>
        <w:t>及</w:t>
      </w:r>
      <w:r w:rsidR="00F81DDE">
        <w:rPr>
          <w:rFonts w:ascii="標楷體" w:eastAsia="標楷體" w:hAnsi="標楷體" w:hint="eastAsia"/>
          <w:sz w:val="32"/>
          <w:szCs w:val="32"/>
        </w:rPr>
        <w:t>對於高齡身障旅客</w:t>
      </w:r>
      <w:r w:rsidRPr="009C4B6C">
        <w:rPr>
          <w:rFonts w:ascii="標楷體" w:eastAsia="標楷體" w:hAnsi="標楷體" w:hint="eastAsia"/>
          <w:sz w:val="32"/>
          <w:szCs w:val="32"/>
        </w:rPr>
        <w:t>服務態度問題等。各</w:t>
      </w:r>
      <w:proofErr w:type="gramStart"/>
      <w:r w:rsidRPr="009C4B6C">
        <w:rPr>
          <w:rFonts w:ascii="標楷體" w:eastAsia="標楷體" w:hAnsi="標楷體" w:hint="eastAsia"/>
          <w:sz w:val="32"/>
          <w:szCs w:val="32"/>
        </w:rPr>
        <w:t>航空公司</w:t>
      </w:r>
      <w:r w:rsidR="00705D94">
        <w:rPr>
          <w:rFonts w:ascii="標楷體" w:eastAsia="標楷體" w:hAnsi="標楷體" w:hint="eastAsia"/>
          <w:sz w:val="32"/>
          <w:szCs w:val="32"/>
        </w:rPr>
        <w:t>均向旅客</w:t>
      </w:r>
      <w:proofErr w:type="gramEnd"/>
      <w:r w:rsidR="00705D94">
        <w:rPr>
          <w:rFonts w:ascii="標楷體" w:eastAsia="標楷體" w:hAnsi="標楷體" w:hint="eastAsia"/>
          <w:sz w:val="32"/>
          <w:szCs w:val="32"/>
        </w:rPr>
        <w:t>道歉並將加強服務人員加強注意高齡及身障</w:t>
      </w:r>
      <w:r w:rsidR="00705D94">
        <w:rPr>
          <w:rFonts w:ascii="標楷體" w:eastAsia="標楷體" w:hAnsi="標楷體" w:hint="eastAsia"/>
          <w:sz w:val="32"/>
          <w:szCs w:val="32"/>
        </w:rPr>
        <w:lastRenderedPageBreak/>
        <w:t>旅客需求</w:t>
      </w:r>
      <w:r w:rsidRPr="009C4B6C">
        <w:rPr>
          <w:rFonts w:ascii="標楷體" w:eastAsia="標楷體" w:hAnsi="標楷體" w:hint="eastAsia"/>
          <w:sz w:val="32"/>
          <w:szCs w:val="32"/>
        </w:rPr>
        <w:t>，提升服務品質。</w:t>
      </w:r>
    </w:p>
    <w:p w:rsidR="009C4B6C" w:rsidRDefault="009C4B6C" w:rsidP="00A61600">
      <w:pPr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</w:t>
      </w:r>
      <w:r w:rsidRPr="009C4B6C">
        <w:rPr>
          <w:rFonts w:ascii="標楷體" w:eastAsia="標楷體" w:hAnsi="標楷體" w:hint="eastAsia"/>
          <w:sz w:val="32"/>
          <w:szCs w:val="32"/>
        </w:rPr>
        <w:t>機場服務方面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693622" w:rsidRPr="009C4B6C" w:rsidRDefault="009C4B6C" w:rsidP="00A61600">
      <w:pPr>
        <w:ind w:leftChars="100" w:left="56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="00072D8F">
        <w:rPr>
          <w:rFonts w:ascii="標楷體" w:eastAsia="標楷體" w:hAnsi="標楷體" w:hint="eastAsia"/>
          <w:sz w:val="32"/>
          <w:szCs w:val="32"/>
        </w:rPr>
        <w:t>有3件反映本站駐站商店海潮坊包裝禮品服務及</w:t>
      </w:r>
      <w:proofErr w:type="gramStart"/>
      <w:r w:rsidR="00072D8F">
        <w:rPr>
          <w:rFonts w:ascii="標楷體" w:eastAsia="標楷體" w:hAnsi="標楷體" w:hint="eastAsia"/>
          <w:sz w:val="32"/>
          <w:szCs w:val="32"/>
        </w:rPr>
        <w:t>澎</w:t>
      </w:r>
      <w:proofErr w:type="gramEnd"/>
      <w:r w:rsidR="00072D8F">
        <w:rPr>
          <w:rFonts w:ascii="標楷體" w:eastAsia="標楷體" w:hAnsi="標楷體" w:hint="eastAsia"/>
          <w:sz w:val="32"/>
          <w:szCs w:val="32"/>
        </w:rPr>
        <w:t>坊服務人員態度問題案，經轉</w:t>
      </w:r>
      <w:proofErr w:type="gramStart"/>
      <w:r w:rsidR="00072D8F">
        <w:rPr>
          <w:rFonts w:ascii="標楷體" w:eastAsia="標楷體" w:hAnsi="標楷體" w:hint="eastAsia"/>
          <w:sz w:val="32"/>
          <w:szCs w:val="32"/>
        </w:rPr>
        <w:t>請妥處均向</w:t>
      </w:r>
      <w:proofErr w:type="gramEnd"/>
      <w:r w:rsidR="00072D8F">
        <w:rPr>
          <w:rFonts w:ascii="標楷體" w:eastAsia="標楷體" w:hAnsi="標楷體" w:hint="eastAsia"/>
          <w:sz w:val="32"/>
          <w:szCs w:val="32"/>
        </w:rPr>
        <w:t>旅客致歉並獲諒解，並加強服務人員教育訓練。</w:t>
      </w:r>
    </w:p>
    <w:p w:rsidR="000553F7" w:rsidRPr="000553F7" w:rsidRDefault="009C4B6C" w:rsidP="000553F7">
      <w:pPr>
        <w:ind w:leftChars="100" w:left="560" w:hangingChars="100" w:hanging="32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="00753F60">
        <w:rPr>
          <w:rFonts w:ascii="標楷體" w:eastAsia="標楷體" w:hAnsi="標楷體" w:hint="eastAsia"/>
          <w:sz w:val="32"/>
          <w:szCs w:val="32"/>
        </w:rPr>
        <w:t>有3件反應</w:t>
      </w:r>
      <w:r w:rsidR="000553F7">
        <w:rPr>
          <w:rFonts w:ascii="標楷體" w:eastAsia="標楷體" w:hAnsi="標楷體" w:hint="eastAsia"/>
          <w:sz w:val="32"/>
          <w:szCs w:val="32"/>
        </w:rPr>
        <w:t>本</w:t>
      </w:r>
      <w:proofErr w:type="gramStart"/>
      <w:r w:rsidR="000553F7">
        <w:rPr>
          <w:rFonts w:ascii="標楷體" w:eastAsia="標楷體" w:hAnsi="標楷體" w:hint="eastAsia"/>
          <w:sz w:val="32"/>
          <w:szCs w:val="32"/>
        </w:rPr>
        <w:t>站</w:t>
      </w:r>
      <w:r w:rsidR="00753F60">
        <w:rPr>
          <w:rFonts w:ascii="標楷體" w:eastAsia="標楷體" w:hAnsi="標楷體" w:hint="eastAsia"/>
          <w:sz w:val="32"/>
          <w:szCs w:val="32"/>
        </w:rPr>
        <w:t>安檢動</w:t>
      </w:r>
      <w:proofErr w:type="gramEnd"/>
      <w:r w:rsidR="00753F60">
        <w:rPr>
          <w:rFonts w:ascii="標楷體" w:eastAsia="標楷體" w:hAnsi="標楷體" w:hint="eastAsia"/>
          <w:sz w:val="32"/>
          <w:szCs w:val="32"/>
        </w:rPr>
        <w:t>線、</w:t>
      </w:r>
      <w:r w:rsidR="000553F7" w:rsidRPr="000553F7">
        <w:rPr>
          <w:rFonts w:ascii="標楷體" w:eastAsia="標楷體" w:hAnsi="標楷體" w:hint="eastAsia"/>
          <w:sz w:val="32"/>
          <w:szCs w:val="32"/>
        </w:rPr>
        <w:t>安全檢查過程不放盒子</w:t>
      </w:r>
      <w:proofErr w:type="gramStart"/>
      <w:r w:rsidR="000553F7" w:rsidRPr="000553F7">
        <w:rPr>
          <w:rFonts w:ascii="標楷體" w:eastAsia="標楷體" w:hAnsi="標楷體" w:hint="eastAsia"/>
          <w:sz w:val="32"/>
          <w:szCs w:val="32"/>
        </w:rPr>
        <w:t>汙</w:t>
      </w:r>
      <w:proofErr w:type="gramEnd"/>
      <w:r w:rsidR="000553F7" w:rsidRPr="000553F7">
        <w:rPr>
          <w:rFonts w:ascii="標楷體" w:eastAsia="標楷體" w:hAnsi="標楷體" w:hint="eastAsia"/>
          <w:sz w:val="32"/>
          <w:szCs w:val="32"/>
        </w:rPr>
        <w:t>損</w:t>
      </w:r>
      <w:r w:rsidR="000553F7" w:rsidRPr="000553F7">
        <w:rPr>
          <w:rFonts w:ascii="標楷體" w:eastAsia="標楷體" w:hAnsi="標楷體" w:hint="eastAsia"/>
          <w:sz w:val="32"/>
          <w:szCs w:val="32"/>
        </w:rPr>
        <w:t>以及服務人員態度</w:t>
      </w:r>
      <w:r w:rsidR="000553F7">
        <w:rPr>
          <w:rFonts w:ascii="標楷體" w:eastAsia="標楷體" w:hAnsi="標楷體" w:hint="eastAsia"/>
          <w:sz w:val="32"/>
          <w:szCs w:val="32"/>
        </w:rPr>
        <w:t>部份</w:t>
      </w:r>
      <w:r w:rsidR="000553F7" w:rsidRPr="000553F7">
        <w:rPr>
          <w:rFonts w:ascii="標楷體" w:eastAsia="標楷體" w:hAnsi="標楷體" w:hint="eastAsia"/>
          <w:sz w:val="32"/>
          <w:szCs w:val="32"/>
        </w:rPr>
        <w:t>案：</w:t>
      </w:r>
    </w:p>
    <w:p w:rsidR="000553F7" w:rsidRPr="000553F7" w:rsidRDefault="000553F7" w:rsidP="000553F7">
      <w:pPr>
        <w:ind w:leftChars="100" w:left="720" w:hangingChars="150" w:hanging="480"/>
        <w:jc w:val="both"/>
        <w:rPr>
          <w:rFonts w:ascii="標楷體" w:eastAsia="標楷體" w:hAnsi="標楷體" w:hint="eastAsia"/>
          <w:sz w:val="32"/>
          <w:szCs w:val="32"/>
        </w:rPr>
      </w:pPr>
      <w:r w:rsidRPr="000553F7">
        <w:rPr>
          <w:rFonts w:ascii="標楷體" w:eastAsia="標楷體" w:hAnsi="標楷體" w:hint="eastAsia"/>
          <w:sz w:val="32"/>
          <w:szCs w:val="32"/>
        </w:rPr>
        <w:t>(1)</w:t>
      </w:r>
      <w:r w:rsidRPr="000553F7">
        <w:rPr>
          <w:rFonts w:ascii="標楷體" w:eastAsia="標楷體" w:hAnsi="標楷體" w:hint="eastAsia"/>
          <w:sz w:val="32"/>
          <w:szCs w:val="32"/>
        </w:rPr>
        <w:t>茲因本站隨身行李檢查</w:t>
      </w:r>
      <w:proofErr w:type="gramStart"/>
      <w:r w:rsidRPr="000553F7">
        <w:rPr>
          <w:rFonts w:ascii="標楷體" w:eastAsia="標楷體" w:hAnsi="標楷體" w:hint="eastAsia"/>
          <w:sz w:val="32"/>
          <w:szCs w:val="32"/>
        </w:rPr>
        <w:t>處動線短</w:t>
      </w:r>
      <w:proofErr w:type="gramEnd"/>
      <w:r w:rsidRPr="000553F7">
        <w:rPr>
          <w:rFonts w:ascii="標楷體" w:eastAsia="標楷體" w:hAnsi="標楷體" w:hint="eastAsia"/>
          <w:sz w:val="32"/>
          <w:szCs w:val="32"/>
        </w:rPr>
        <w:t>，常發生</w:t>
      </w:r>
      <w:proofErr w:type="gramStart"/>
      <w:r w:rsidRPr="000553F7">
        <w:rPr>
          <w:rFonts w:ascii="標楷體" w:eastAsia="標楷體" w:hAnsi="標楷體" w:hint="eastAsia"/>
          <w:sz w:val="32"/>
          <w:szCs w:val="32"/>
        </w:rPr>
        <w:t>雍</w:t>
      </w:r>
      <w:proofErr w:type="gramEnd"/>
      <w:r w:rsidRPr="000553F7">
        <w:rPr>
          <w:rFonts w:ascii="標楷體" w:eastAsia="標楷體" w:hAnsi="標楷體" w:hint="eastAsia"/>
          <w:sz w:val="32"/>
          <w:szCs w:val="32"/>
        </w:rPr>
        <w:t>塞情形；為了方便旅客通關，</w:t>
      </w:r>
      <w:r>
        <w:rPr>
          <w:rFonts w:ascii="標楷體" w:eastAsia="標楷體" w:hAnsi="標楷體" w:hint="eastAsia"/>
          <w:sz w:val="32"/>
          <w:szCs w:val="32"/>
        </w:rPr>
        <w:t>已</w:t>
      </w:r>
      <w:r w:rsidRPr="000553F7">
        <w:rPr>
          <w:rFonts w:ascii="標楷體" w:eastAsia="標楷體" w:hAnsi="標楷體" w:hint="eastAsia"/>
          <w:sz w:val="32"/>
          <w:szCs w:val="32"/>
        </w:rPr>
        <w:t>要求同仁於旅客通關時應「禮貌性告知」旅客行李擺放方法，希望旅客能快速通關避免大排長龍，浪費旅客寶貴的時間。</w:t>
      </w:r>
      <w:r>
        <w:rPr>
          <w:rFonts w:ascii="標楷體" w:eastAsia="標楷體" w:hAnsi="標楷體" w:hint="eastAsia"/>
          <w:sz w:val="32"/>
          <w:szCs w:val="32"/>
        </w:rPr>
        <w:t>後續將加強</w:t>
      </w:r>
      <w:r w:rsidRPr="000553F7">
        <w:rPr>
          <w:rFonts w:ascii="標楷體" w:eastAsia="標楷體" w:hAnsi="標楷體" w:hint="eastAsia"/>
          <w:sz w:val="32"/>
          <w:szCs w:val="32"/>
        </w:rPr>
        <w:t>同仁委婉告知旅客，以避免產生誤解。</w:t>
      </w:r>
    </w:p>
    <w:p w:rsidR="009C4B6C" w:rsidRDefault="000553F7" w:rsidP="000553F7">
      <w:pPr>
        <w:ind w:leftChars="100" w:left="720" w:hangingChars="150" w:hanging="48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(2)</w:t>
      </w:r>
      <w:r w:rsidRPr="000553F7">
        <w:rPr>
          <w:rFonts w:ascii="標楷體" w:eastAsia="標楷體" w:hAnsi="標楷體" w:hint="eastAsia"/>
          <w:sz w:val="32"/>
          <w:szCs w:val="32"/>
        </w:rPr>
        <w:t>時值澎湖旅遊旺季，旅客人數</w:t>
      </w:r>
      <w:proofErr w:type="gramStart"/>
      <w:r w:rsidRPr="000553F7">
        <w:rPr>
          <w:rFonts w:ascii="標楷體" w:eastAsia="標楷體" w:hAnsi="標楷體" w:hint="eastAsia"/>
          <w:sz w:val="32"/>
          <w:szCs w:val="32"/>
        </w:rPr>
        <w:t>眾多，</w:t>
      </w:r>
      <w:proofErr w:type="gramEnd"/>
      <w:r w:rsidRPr="000553F7">
        <w:rPr>
          <w:rFonts w:ascii="標楷體" w:eastAsia="標楷體" w:hAnsi="標楷體" w:hint="eastAsia"/>
          <w:sz w:val="32"/>
          <w:szCs w:val="32"/>
        </w:rPr>
        <w:t>故比照桃園及台北松山機場將旅客排隊動線拉長。</w:t>
      </w:r>
    </w:p>
    <w:p w:rsidR="000553F7" w:rsidRPr="000553F7" w:rsidRDefault="000553F7" w:rsidP="000553F7">
      <w:pPr>
        <w:ind w:leftChars="100" w:left="720" w:hangingChars="150" w:hanging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(3)</w:t>
      </w:r>
      <w:r w:rsidRPr="000553F7">
        <w:rPr>
          <w:rFonts w:ascii="標楷體" w:eastAsia="標楷體" w:hAnsi="標楷體" w:hint="eastAsia"/>
          <w:sz w:val="32"/>
          <w:szCs w:val="32"/>
        </w:rPr>
        <w:t>茲因移民署與航警局隸屬不同單位，移民署補發之證件未有樣張供航警單位參考，故予以嚴格審查，以免疏漏。後續加強教育同仁辨識外籍旅客證件，以免耽誤旅客行程。</w:t>
      </w:r>
    </w:p>
    <w:p w:rsidR="009C4B6C" w:rsidRDefault="009C4B6C" w:rsidP="00A61600">
      <w:pPr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C4B6C">
        <w:rPr>
          <w:rFonts w:ascii="標楷體" w:eastAsia="標楷體" w:hAnsi="標楷體" w:hint="eastAsia"/>
          <w:sz w:val="32"/>
          <w:szCs w:val="32"/>
        </w:rPr>
        <w:t>(三)場站設施方面：</w:t>
      </w:r>
    </w:p>
    <w:p w:rsidR="00C31999" w:rsidRPr="00C31999" w:rsidRDefault="009C4B6C" w:rsidP="00C31999">
      <w:pPr>
        <w:ind w:leftChars="100" w:left="560" w:hangingChars="100" w:hanging="32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</w:t>
      </w:r>
      <w:r w:rsidR="00A61600">
        <w:rPr>
          <w:rFonts w:ascii="標楷體" w:eastAsia="標楷體" w:hAnsi="標楷體" w:hint="eastAsia"/>
          <w:sz w:val="32"/>
          <w:szCs w:val="32"/>
        </w:rPr>
        <w:t>.</w:t>
      </w:r>
      <w:r w:rsidRPr="009C4B6C">
        <w:rPr>
          <w:rFonts w:ascii="標楷體" w:eastAsia="標楷體" w:hAnsi="標楷體" w:hint="eastAsia"/>
          <w:sz w:val="32"/>
          <w:szCs w:val="32"/>
        </w:rPr>
        <w:t>有</w:t>
      </w:r>
      <w:r w:rsidR="00C31999">
        <w:rPr>
          <w:rFonts w:ascii="標楷體" w:eastAsia="標楷體" w:hAnsi="標楷體" w:hint="eastAsia"/>
          <w:sz w:val="32"/>
          <w:szCs w:val="32"/>
        </w:rPr>
        <w:t>6</w:t>
      </w:r>
      <w:r w:rsidRPr="009C4B6C">
        <w:rPr>
          <w:rFonts w:ascii="標楷體" w:eastAsia="標楷體" w:hAnsi="標楷體" w:hint="eastAsia"/>
          <w:sz w:val="32"/>
          <w:szCs w:val="32"/>
        </w:rPr>
        <w:t>件反映航站空調問題，本站</w:t>
      </w:r>
      <w:r w:rsidR="00072D8F">
        <w:rPr>
          <w:rFonts w:ascii="標楷體" w:eastAsia="標楷體" w:hAnsi="標楷體" w:hint="eastAsia"/>
          <w:sz w:val="32"/>
          <w:szCs w:val="32"/>
        </w:rPr>
        <w:t>107年5月期間</w:t>
      </w:r>
      <w:r w:rsidR="00C31999" w:rsidRPr="00C31999">
        <w:rPr>
          <w:rFonts w:ascii="標楷體" w:eastAsia="標楷體" w:hAnsi="標楷體" w:hint="eastAsia"/>
          <w:sz w:val="32"/>
          <w:szCs w:val="32"/>
        </w:rPr>
        <w:t>3號登機門</w:t>
      </w:r>
      <w:proofErr w:type="gramStart"/>
      <w:r w:rsidR="00C31999" w:rsidRPr="00C31999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="00C31999" w:rsidRPr="00C31999">
        <w:rPr>
          <w:rFonts w:ascii="標楷體" w:eastAsia="標楷體" w:hAnsi="標楷體" w:hint="eastAsia"/>
          <w:sz w:val="32"/>
          <w:szCs w:val="32"/>
        </w:rPr>
        <w:lastRenderedPageBreak/>
        <w:t>邊區域空調系統效果不佳，</w:t>
      </w:r>
      <w:r w:rsidR="00072D8F">
        <w:rPr>
          <w:rFonts w:ascii="標楷體" w:eastAsia="標楷體" w:hAnsi="標楷體" w:hint="eastAsia"/>
          <w:sz w:val="32"/>
          <w:szCs w:val="32"/>
        </w:rPr>
        <w:t>經積極請廠商盡速改善，於107年6月完成改善，</w:t>
      </w:r>
      <w:r w:rsidR="00C31999" w:rsidRPr="00C31999">
        <w:rPr>
          <w:rFonts w:ascii="標楷體" w:eastAsia="標楷體" w:hAnsi="標楷體" w:hint="eastAsia"/>
          <w:sz w:val="32"/>
          <w:szCs w:val="32"/>
        </w:rPr>
        <w:t>提供旅客優質候機環境。</w:t>
      </w:r>
    </w:p>
    <w:p w:rsidR="00711C64" w:rsidRDefault="009C4B6C" w:rsidP="00711C64">
      <w:pPr>
        <w:ind w:leftChars="100" w:left="560" w:hangingChars="100" w:hanging="32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</w:t>
      </w:r>
      <w:r w:rsidR="00A61600">
        <w:rPr>
          <w:rFonts w:ascii="標楷體" w:eastAsia="標楷體" w:hAnsi="標楷體" w:hint="eastAsia"/>
          <w:sz w:val="32"/>
          <w:szCs w:val="32"/>
        </w:rPr>
        <w:t>.</w:t>
      </w:r>
      <w:r w:rsidR="00711C64">
        <w:rPr>
          <w:rFonts w:ascii="標楷體" w:eastAsia="標楷體" w:hAnsi="標楷體" w:hint="eastAsia"/>
          <w:sz w:val="32"/>
          <w:szCs w:val="32"/>
        </w:rPr>
        <w:t>本站107年辦理</w:t>
      </w:r>
      <w:r w:rsidR="00711C64" w:rsidRPr="009C4B6C">
        <w:rPr>
          <w:rFonts w:ascii="標楷體" w:eastAsia="標楷體" w:hAnsi="標楷體" w:hint="eastAsia"/>
          <w:sz w:val="32"/>
          <w:szCs w:val="32"/>
        </w:rPr>
        <w:t>「航廈廁所整修工程」</w:t>
      </w:r>
      <w:r w:rsidR="00711C64">
        <w:rPr>
          <w:rFonts w:ascii="標楷體" w:eastAsia="標楷體" w:hAnsi="標楷體" w:hint="eastAsia"/>
          <w:sz w:val="32"/>
          <w:szCs w:val="32"/>
        </w:rPr>
        <w:t>，有5</w:t>
      </w:r>
      <w:r w:rsidRPr="009C4B6C">
        <w:rPr>
          <w:rFonts w:ascii="標楷體" w:eastAsia="標楷體" w:hAnsi="標楷體" w:hint="eastAsia"/>
          <w:sz w:val="32"/>
          <w:szCs w:val="32"/>
        </w:rPr>
        <w:t>件反映廁所</w:t>
      </w:r>
      <w:r w:rsidR="00711C64" w:rsidRPr="00711C64">
        <w:rPr>
          <w:rFonts w:ascii="標楷體" w:eastAsia="標楷體" w:hAnsi="標楷體" w:hint="eastAsia"/>
          <w:sz w:val="32"/>
          <w:szCs w:val="32"/>
        </w:rPr>
        <w:t>整建施工建議</w:t>
      </w:r>
      <w:r w:rsidR="00711C64" w:rsidRPr="00711C64">
        <w:rPr>
          <w:rFonts w:ascii="標楷體" w:eastAsia="標楷體" w:hAnsi="標楷體" w:hint="eastAsia"/>
          <w:sz w:val="32"/>
          <w:szCs w:val="32"/>
        </w:rPr>
        <w:t>、</w:t>
      </w:r>
      <w:r w:rsidR="00711C64" w:rsidRPr="00711C64">
        <w:rPr>
          <w:rFonts w:ascii="標楷體" w:eastAsia="標楷體" w:hAnsi="標楷體" w:hint="eastAsia"/>
          <w:sz w:val="32"/>
          <w:szCs w:val="32"/>
        </w:rPr>
        <w:t>廁所標示</w:t>
      </w:r>
      <w:r w:rsidR="00711C64" w:rsidRPr="00711C64">
        <w:rPr>
          <w:rFonts w:ascii="標楷體" w:eastAsia="標楷體" w:hAnsi="標楷體" w:hint="eastAsia"/>
          <w:sz w:val="32"/>
          <w:szCs w:val="32"/>
        </w:rPr>
        <w:t>、</w:t>
      </w:r>
      <w:r w:rsidR="00711C64" w:rsidRPr="00711C64">
        <w:rPr>
          <w:rFonts w:ascii="標楷體" w:eastAsia="標楷體" w:hAnsi="標楷體" w:hint="eastAsia"/>
          <w:sz w:val="32"/>
          <w:szCs w:val="32"/>
        </w:rPr>
        <w:t>內</w:t>
      </w:r>
      <w:r w:rsidR="00711C64">
        <w:rPr>
          <w:rFonts w:ascii="標楷體" w:eastAsia="標楷體" w:hAnsi="標楷體" w:hint="eastAsia"/>
          <w:sz w:val="32"/>
          <w:szCs w:val="32"/>
        </w:rPr>
        <w:t>部</w:t>
      </w:r>
      <w:r w:rsidR="00711C64" w:rsidRPr="00711C64">
        <w:rPr>
          <w:rFonts w:ascii="標楷體" w:eastAsia="標楷體" w:hAnsi="標楷體" w:hint="eastAsia"/>
          <w:sz w:val="32"/>
          <w:szCs w:val="32"/>
        </w:rPr>
        <w:t>沒有置物及整理服裝儀容的鏡子</w:t>
      </w:r>
      <w:r w:rsidR="00711C64">
        <w:rPr>
          <w:rFonts w:ascii="標楷體" w:eastAsia="標楷體" w:hAnsi="標楷體" w:hint="eastAsia"/>
          <w:sz w:val="32"/>
          <w:szCs w:val="32"/>
        </w:rPr>
        <w:t>等，均回復說明如下：</w:t>
      </w:r>
    </w:p>
    <w:p w:rsidR="00711C64" w:rsidRPr="00711C64" w:rsidRDefault="00711C64" w:rsidP="00711C64">
      <w:pPr>
        <w:ind w:leftChars="100" w:left="720" w:hangingChars="150" w:hanging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(1)</w:t>
      </w:r>
      <w:r w:rsidRPr="00711C64">
        <w:rPr>
          <w:rFonts w:ascii="標楷體" w:eastAsia="標楷體" w:hAnsi="標楷體"/>
          <w:sz w:val="32"/>
          <w:szCs w:val="32"/>
        </w:rPr>
        <w:t>本站為配合本縣觀光旺季大量旅客使用需求，施作前已規劃排定各區域廁所施工期程，</w:t>
      </w:r>
      <w:proofErr w:type="gramStart"/>
      <w:r w:rsidRPr="00711C64">
        <w:rPr>
          <w:rFonts w:ascii="標楷體" w:eastAsia="標楷體" w:hAnsi="標楷體"/>
          <w:sz w:val="32"/>
          <w:szCs w:val="32"/>
        </w:rPr>
        <w:t>惟航站</w:t>
      </w:r>
      <w:proofErr w:type="gramEnd"/>
      <w:r w:rsidRPr="00711C64">
        <w:rPr>
          <w:rFonts w:ascii="標楷體" w:eastAsia="標楷體" w:hAnsi="標楷體"/>
          <w:sz w:val="32"/>
          <w:szCs w:val="32"/>
        </w:rPr>
        <w:t>廁所整建工程施工期程需達半年以上，施工期實無法完全排除觀光旺季。</w:t>
      </w:r>
      <w:r w:rsidRPr="00711C64">
        <w:rPr>
          <w:rFonts w:ascii="標楷體" w:eastAsia="標楷體" w:hAnsi="標楷體" w:hint="eastAsia"/>
          <w:sz w:val="32"/>
          <w:szCs w:val="32"/>
        </w:rPr>
        <w:t>已</w:t>
      </w:r>
      <w:r w:rsidRPr="00711C64">
        <w:rPr>
          <w:rFonts w:ascii="標楷體" w:eastAsia="標楷體" w:hAnsi="標楷體"/>
          <w:sz w:val="32"/>
          <w:szCs w:val="32"/>
        </w:rPr>
        <w:t>要求施工廠商戮力趕工，</w:t>
      </w:r>
      <w:r w:rsidRPr="00711C64">
        <w:rPr>
          <w:rFonts w:ascii="標楷體" w:eastAsia="標楷體" w:hAnsi="標楷體" w:hint="eastAsia"/>
          <w:sz w:val="32"/>
          <w:szCs w:val="32"/>
        </w:rPr>
        <w:t>107年11月已全面開放使用</w:t>
      </w:r>
      <w:r w:rsidRPr="00711C64">
        <w:rPr>
          <w:rFonts w:ascii="標楷體" w:eastAsia="標楷體" w:hAnsi="標楷體"/>
          <w:sz w:val="32"/>
          <w:szCs w:val="32"/>
        </w:rPr>
        <w:t>。</w:t>
      </w:r>
    </w:p>
    <w:p w:rsidR="00711C64" w:rsidRDefault="00711C64" w:rsidP="00711C64">
      <w:pPr>
        <w:ind w:leftChars="100" w:left="720" w:hangingChars="150" w:hanging="48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(2)</w:t>
      </w:r>
      <w:r w:rsidRPr="00711C64">
        <w:rPr>
          <w:rFonts w:ascii="標楷體" w:eastAsia="標楷體" w:hAnsi="標楷體"/>
          <w:sz w:val="32"/>
          <w:szCs w:val="32"/>
        </w:rPr>
        <w:t>有關施工中之臨時指示牌，相關</w:t>
      </w:r>
      <w:proofErr w:type="gramStart"/>
      <w:r w:rsidRPr="00711C64">
        <w:rPr>
          <w:rFonts w:ascii="標楷體" w:eastAsia="標楷體" w:hAnsi="標楷體"/>
          <w:sz w:val="32"/>
          <w:szCs w:val="32"/>
        </w:rPr>
        <w:t>內容均有中英對照</w:t>
      </w:r>
      <w:proofErr w:type="gramEnd"/>
      <w:r w:rsidRPr="00711C64">
        <w:rPr>
          <w:rFonts w:ascii="標楷體" w:eastAsia="標楷體" w:hAnsi="標楷體"/>
          <w:sz w:val="32"/>
          <w:szCs w:val="32"/>
        </w:rPr>
        <w:t>，本站</w:t>
      </w:r>
      <w:r w:rsidRPr="00711C64">
        <w:rPr>
          <w:rFonts w:ascii="標楷體" w:eastAsia="標楷體" w:hAnsi="標楷體" w:hint="eastAsia"/>
          <w:sz w:val="32"/>
          <w:szCs w:val="32"/>
        </w:rPr>
        <w:t>亦</w:t>
      </w:r>
      <w:r w:rsidRPr="00711C64">
        <w:rPr>
          <w:rFonts w:ascii="標楷體" w:eastAsia="標楷體" w:hAnsi="標楷體"/>
          <w:sz w:val="32"/>
          <w:szCs w:val="32"/>
        </w:rPr>
        <w:t>全面檢視是否有遺漏或不足之處，立即進行改善</w:t>
      </w:r>
      <w:r w:rsidRPr="00711C64">
        <w:rPr>
          <w:rFonts w:ascii="標楷體" w:eastAsia="標楷體" w:hAnsi="標楷體" w:hint="eastAsia"/>
          <w:sz w:val="32"/>
          <w:szCs w:val="32"/>
        </w:rPr>
        <w:t>完成</w:t>
      </w:r>
      <w:r w:rsidRPr="00711C64">
        <w:rPr>
          <w:rFonts w:ascii="標楷體" w:eastAsia="標楷體" w:hAnsi="標楷體"/>
          <w:sz w:val="32"/>
          <w:szCs w:val="32"/>
        </w:rPr>
        <w:t>。</w:t>
      </w:r>
    </w:p>
    <w:p w:rsidR="00711C64" w:rsidRPr="00711C64" w:rsidRDefault="00711C64" w:rsidP="00753F60">
      <w:pPr>
        <w:ind w:leftChars="100" w:left="720" w:hangingChars="150" w:hanging="48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753F60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711C64">
        <w:rPr>
          <w:rFonts w:ascii="標楷體" w:eastAsia="標楷體" w:hAnsi="標楷體" w:hint="eastAsia"/>
          <w:sz w:val="32"/>
          <w:szCs w:val="32"/>
        </w:rPr>
        <w:t>本站</w:t>
      </w:r>
      <w:r w:rsidR="00753F60">
        <w:rPr>
          <w:rFonts w:ascii="標楷體" w:eastAsia="標楷體" w:hAnsi="標楷體" w:hint="eastAsia"/>
          <w:sz w:val="32"/>
          <w:szCs w:val="32"/>
        </w:rPr>
        <w:t>107年11月完成</w:t>
      </w:r>
      <w:r w:rsidRPr="00711C64">
        <w:rPr>
          <w:rFonts w:ascii="標楷體" w:eastAsia="標楷體" w:hAnsi="標楷體" w:hint="eastAsia"/>
          <w:sz w:val="32"/>
          <w:szCs w:val="32"/>
        </w:rPr>
        <w:t>於</w:t>
      </w:r>
      <w:proofErr w:type="gramStart"/>
      <w:r w:rsidRPr="00711C64">
        <w:rPr>
          <w:rFonts w:ascii="標楷體" w:eastAsia="標楷體" w:hAnsi="標楷體" w:hint="eastAsia"/>
          <w:sz w:val="32"/>
          <w:szCs w:val="32"/>
        </w:rPr>
        <w:t>各廁間</w:t>
      </w:r>
      <w:proofErr w:type="gramEnd"/>
      <w:r w:rsidRPr="00711C64">
        <w:rPr>
          <w:rFonts w:ascii="標楷體" w:eastAsia="標楷體" w:hAnsi="標楷體" w:hint="eastAsia"/>
          <w:sz w:val="32"/>
          <w:szCs w:val="32"/>
        </w:rPr>
        <w:t>入口(門框)上方張貼男女圖形標識，強化辨識度。</w:t>
      </w:r>
    </w:p>
    <w:p w:rsidR="00711C64" w:rsidRPr="00711C64" w:rsidRDefault="00711C64" w:rsidP="00753F60">
      <w:pPr>
        <w:ind w:leftChars="100" w:left="720" w:hangingChars="150" w:hanging="480"/>
        <w:jc w:val="both"/>
        <w:rPr>
          <w:rFonts w:ascii="標楷體" w:eastAsia="標楷體" w:hAnsi="標楷體" w:hint="eastAsia"/>
          <w:sz w:val="32"/>
          <w:szCs w:val="32"/>
        </w:rPr>
      </w:pPr>
      <w:r w:rsidRPr="00711C64">
        <w:rPr>
          <w:rFonts w:ascii="標楷體" w:eastAsia="標楷體" w:hAnsi="標楷體" w:hint="eastAsia"/>
          <w:sz w:val="32"/>
          <w:szCs w:val="32"/>
        </w:rPr>
        <w:t>(</w:t>
      </w:r>
      <w:r w:rsidR="00753F60">
        <w:rPr>
          <w:rFonts w:ascii="標楷體" w:eastAsia="標楷體" w:hAnsi="標楷體" w:hint="eastAsia"/>
          <w:sz w:val="32"/>
          <w:szCs w:val="32"/>
        </w:rPr>
        <w:t>4</w:t>
      </w:r>
      <w:r w:rsidRPr="00711C64">
        <w:rPr>
          <w:rFonts w:ascii="標楷體" w:eastAsia="標楷體" w:hAnsi="標楷體" w:hint="eastAsia"/>
          <w:sz w:val="32"/>
          <w:szCs w:val="32"/>
        </w:rPr>
        <w:t>)</w:t>
      </w:r>
      <w:r w:rsidR="00753F60">
        <w:rPr>
          <w:rFonts w:ascii="標楷體" w:eastAsia="標楷體" w:hAnsi="標楷體" w:hint="eastAsia"/>
          <w:sz w:val="32"/>
          <w:szCs w:val="32"/>
        </w:rPr>
        <w:t>有關</w:t>
      </w:r>
      <w:r w:rsidRPr="00711C64">
        <w:rPr>
          <w:rFonts w:ascii="標楷體" w:eastAsia="標楷體" w:hAnsi="標楷體" w:hint="eastAsia"/>
          <w:sz w:val="32"/>
          <w:szCs w:val="32"/>
        </w:rPr>
        <w:t>本</w:t>
      </w:r>
      <w:proofErr w:type="gramStart"/>
      <w:r w:rsidRPr="00711C64">
        <w:rPr>
          <w:rFonts w:ascii="標楷體" w:eastAsia="標楷體" w:hAnsi="標楷體" w:hint="eastAsia"/>
          <w:sz w:val="32"/>
          <w:szCs w:val="32"/>
        </w:rPr>
        <w:t>站廁間</w:t>
      </w:r>
      <w:r w:rsidR="00753F60">
        <w:rPr>
          <w:rFonts w:ascii="標楷體" w:eastAsia="標楷體" w:hAnsi="標楷體" w:hint="eastAsia"/>
          <w:sz w:val="32"/>
          <w:szCs w:val="32"/>
        </w:rPr>
        <w:t>有</w:t>
      </w:r>
      <w:proofErr w:type="gramEnd"/>
      <w:r w:rsidR="00753F60">
        <w:rPr>
          <w:rFonts w:ascii="標楷體" w:eastAsia="標楷體" w:hAnsi="標楷體" w:hint="eastAsia"/>
          <w:sz w:val="32"/>
          <w:szCs w:val="32"/>
        </w:rPr>
        <w:t>粉塵，經查係</w:t>
      </w:r>
      <w:r w:rsidRPr="00711C64">
        <w:rPr>
          <w:rFonts w:ascii="標楷體" w:eastAsia="標楷體" w:hAnsi="標楷體" w:hint="eastAsia"/>
          <w:sz w:val="32"/>
          <w:szCs w:val="32"/>
        </w:rPr>
        <w:t>因廠商進場進行廁所驗收不符項目</w:t>
      </w:r>
      <w:proofErr w:type="gramStart"/>
      <w:r w:rsidRPr="00711C64">
        <w:rPr>
          <w:rFonts w:ascii="標楷體" w:eastAsia="標楷體" w:hAnsi="標楷體" w:hint="eastAsia"/>
          <w:sz w:val="32"/>
          <w:szCs w:val="32"/>
        </w:rPr>
        <w:t>如壁縫</w:t>
      </w:r>
      <w:proofErr w:type="gramEnd"/>
      <w:r w:rsidRPr="00711C64">
        <w:rPr>
          <w:rFonts w:ascii="標楷體" w:eastAsia="標楷體" w:hAnsi="標楷體" w:hint="eastAsia"/>
          <w:sz w:val="32"/>
          <w:szCs w:val="32"/>
        </w:rPr>
        <w:t>修補，致廁所有粉塵，已請清潔人員加強清理。</w:t>
      </w:r>
    </w:p>
    <w:p w:rsidR="00753F60" w:rsidRDefault="00711C64" w:rsidP="00753F60">
      <w:pPr>
        <w:ind w:leftChars="100" w:left="720" w:hangingChars="150" w:hanging="480"/>
        <w:jc w:val="both"/>
        <w:rPr>
          <w:rFonts w:ascii="標楷體" w:eastAsia="標楷體" w:hAnsi="標楷體" w:hint="eastAsia"/>
          <w:sz w:val="32"/>
          <w:szCs w:val="32"/>
        </w:rPr>
      </w:pPr>
      <w:r w:rsidRPr="00711C64">
        <w:rPr>
          <w:rFonts w:ascii="標楷體" w:eastAsia="標楷體" w:hAnsi="標楷體" w:hint="eastAsia"/>
          <w:sz w:val="32"/>
          <w:szCs w:val="32"/>
        </w:rPr>
        <w:t>(</w:t>
      </w:r>
      <w:r w:rsidR="00753F60">
        <w:rPr>
          <w:rFonts w:ascii="標楷體" w:eastAsia="標楷體" w:hAnsi="標楷體" w:hint="eastAsia"/>
          <w:sz w:val="32"/>
          <w:szCs w:val="32"/>
        </w:rPr>
        <w:t>5</w:t>
      </w:r>
      <w:r w:rsidRPr="00711C64">
        <w:rPr>
          <w:rFonts w:ascii="標楷體" w:eastAsia="標楷體" w:hAnsi="標楷體" w:hint="eastAsia"/>
          <w:sz w:val="32"/>
          <w:szCs w:val="32"/>
        </w:rPr>
        <w:t>)</w:t>
      </w:r>
      <w:r w:rsidRPr="00711C64">
        <w:rPr>
          <w:rFonts w:ascii="標楷體" w:eastAsia="標楷體" w:hAnsi="標楷體" w:hint="eastAsia"/>
          <w:sz w:val="32"/>
          <w:szCs w:val="32"/>
        </w:rPr>
        <w:t>本站</w:t>
      </w:r>
      <w:proofErr w:type="gramStart"/>
      <w:r w:rsidRPr="00711C64">
        <w:rPr>
          <w:rFonts w:ascii="標楷體" w:eastAsia="標楷體" w:hAnsi="標楷體" w:hint="eastAsia"/>
          <w:sz w:val="32"/>
          <w:szCs w:val="32"/>
        </w:rPr>
        <w:t>各廁間</w:t>
      </w:r>
      <w:proofErr w:type="gramEnd"/>
      <w:r w:rsidRPr="00711C64">
        <w:rPr>
          <w:rFonts w:ascii="標楷體" w:eastAsia="標楷體" w:hAnsi="標楷體" w:hint="eastAsia"/>
          <w:sz w:val="32"/>
          <w:szCs w:val="32"/>
        </w:rPr>
        <w:t>整修完成後，已陸續增加置物空間及穿衣鏡，提供更友善的如廁環境。</w:t>
      </w:r>
    </w:p>
    <w:p w:rsidR="00711C64" w:rsidRPr="00711C64" w:rsidRDefault="00753F60" w:rsidP="000553F7">
      <w:pPr>
        <w:ind w:leftChars="100" w:left="56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3.反映建議本站增設飲水機案有2件，本站</w:t>
      </w:r>
      <w:r w:rsidR="000553F7">
        <w:rPr>
          <w:rFonts w:ascii="標楷體" w:eastAsia="標楷體" w:hAnsi="標楷體" w:hint="eastAsia"/>
          <w:sz w:val="32"/>
          <w:szCs w:val="32"/>
        </w:rPr>
        <w:t>將</w:t>
      </w:r>
      <w:r>
        <w:rPr>
          <w:rFonts w:ascii="標楷體" w:eastAsia="標楷體" w:hAnsi="標楷體" w:hint="eastAsia"/>
          <w:sz w:val="32"/>
          <w:szCs w:val="32"/>
        </w:rPr>
        <w:t>於108年上半年</w:t>
      </w:r>
      <w:r w:rsidR="000553F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完成增設飲水機</w:t>
      </w:r>
      <w:r w:rsidR="009C4B6C" w:rsidRPr="009C4B6C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以符合旅客需求</w:t>
      </w:r>
      <w:r w:rsidR="009C4B6C">
        <w:rPr>
          <w:rFonts w:ascii="標楷體" w:eastAsia="標楷體" w:hAnsi="標楷體" w:hint="eastAsia"/>
          <w:sz w:val="32"/>
          <w:szCs w:val="32"/>
        </w:rPr>
        <w:t>。</w:t>
      </w:r>
    </w:p>
    <w:p w:rsidR="00753F60" w:rsidRPr="00753F60" w:rsidRDefault="000553F7" w:rsidP="000553F7">
      <w:pPr>
        <w:ind w:leftChars="100" w:left="56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4</w:t>
      </w:r>
      <w:r w:rsidR="00A61600">
        <w:rPr>
          <w:rFonts w:ascii="標楷體" w:eastAsia="標楷體" w:hAnsi="標楷體" w:hint="eastAsia"/>
          <w:sz w:val="32"/>
          <w:szCs w:val="32"/>
        </w:rPr>
        <w:t>.</w:t>
      </w:r>
      <w:r w:rsidR="009C4B6C" w:rsidRPr="009C4B6C">
        <w:rPr>
          <w:rFonts w:ascii="標楷體" w:eastAsia="標楷體" w:hAnsi="標楷體" w:hint="eastAsia"/>
          <w:sz w:val="32"/>
          <w:szCs w:val="32"/>
        </w:rPr>
        <w:t>有</w:t>
      </w:r>
      <w:r w:rsidR="00753F60">
        <w:rPr>
          <w:rFonts w:ascii="標楷體" w:eastAsia="標楷體" w:hAnsi="標楷體" w:hint="eastAsia"/>
          <w:sz w:val="32"/>
          <w:szCs w:val="32"/>
        </w:rPr>
        <w:t>2</w:t>
      </w:r>
      <w:r w:rsidR="009C4B6C" w:rsidRPr="009C4B6C">
        <w:rPr>
          <w:rFonts w:ascii="標楷體" w:eastAsia="標楷體" w:hAnsi="標楷體" w:hint="eastAsia"/>
          <w:sz w:val="32"/>
          <w:szCs w:val="32"/>
        </w:rPr>
        <w:t>件反映</w:t>
      </w:r>
      <w:r w:rsidR="00753F60">
        <w:rPr>
          <w:rFonts w:ascii="標楷體" w:eastAsia="標楷體" w:hAnsi="標楷體" w:hint="eastAsia"/>
          <w:sz w:val="32"/>
          <w:szCs w:val="32"/>
        </w:rPr>
        <w:t>本站吸菸區設置問題，</w:t>
      </w:r>
      <w:r w:rsidR="00753F60" w:rsidRPr="00753F60">
        <w:rPr>
          <w:rFonts w:ascii="標楷體" w:eastAsia="標楷體" w:hAnsi="標楷體" w:hint="eastAsia"/>
          <w:sz w:val="32"/>
          <w:szCs w:val="32"/>
        </w:rPr>
        <w:t>本站吸菸區已與澎湖縣政府衛生局共同</w:t>
      </w:r>
      <w:proofErr w:type="gramStart"/>
      <w:r w:rsidR="00753F60" w:rsidRPr="00753F60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="00753F60" w:rsidRPr="00753F60">
        <w:rPr>
          <w:rFonts w:ascii="標楷體" w:eastAsia="標楷體" w:hAnsi="標楷體" w:hint="eastAsia"/>
          <w:sz w:val="32"/>
          <w:szCs w:val="32"/>
        </w:rPr>
        <w:t>擬移至公車等候處以南貨運站前之區域，</w:t>
      </w:r>
      <w:proofErr w:type="gramStart"/>
      <w:r w:rsidR="00753F60" w:rsidRPr="00753F60">
        <w:rPr>
          <w:rFonts w:ascii="標楷體" w:eastAsia="標楷體" w:hAnsi="標楷體" w:hint="eastAsia"/>
          <w:sz w:val="32"/>
          <w:szCs w:val="32"/>
        </w:rPr>
        <w:t>俟</w:t>
      </w:r>
      <w:proofErr w:type="gramEnd"/>
      <w:r w:rsidR="00753F60" w:rsidRPr="00753F60">
        <w:rPr>
          <w:rFonts w:ascii="標楷體" w:eastAsia="標楷體" w:hAnsi="標楷體" w:hint="eastAsia"/>
          <w:sz w:val="32"/>
          <w:szCs w:val="32"/>
        </w:rPr>
        <w:t>衛生局標示牌完成後即辦理遷移。</w:t>
      </w:r>
    </w:p>
    <w:p w:rsidR="00890320" w:rsidRDefault="00826B93" w:rsidP="00327B56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 w:rsidR="00890320">
        <w:rPr>
          <w:rFonts w:ascii="標楷體" w:eastAsia="標楷體" w:hAnsi="標楷體" w:hint="eastAsia"/>
          <w:sz w:val="32"/>
          <w:szCs w:val="32"/>
        </w:rPr>
        <w:t>、結語</w:t>
      </w:r>
    </w:p>
    <w:p w:rsidR="003104B0" w:rsidRPr="006F20D3" w:rsidRDefault="00524F27" w:rsidP="00A61600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890320">
        <w:rPr>
          <w:rFonts w:ascii="標楷體" w:eastAsia="標楷體" w:hAnsi="標楷體" w:hint="eastAsia"/>
          <w:sz w:val="32"/>
          <w:szCs w:val="32"/>
        </w:rPr>
        <w:t>為</w:t>
      </w:r>
      <w:r w:rsidR="009917E6" w:rsidRPr="00524F27">
        <w:rPr>
          <w:rFonts w:ascii="標楷體" w:eastAsia="標楷體" w:hAnsi="標楷體" w:hint="eastAsia"/>
          <w:sz w:val="32"/>
          <w:szCs w:val="32"/>
        </w:rPr>
        <w:t>提高本站人民陳情案件處理品質及效率，</w:t>
      </w:r>
      <w:r w:rsidR="00890320">
        <w:rPr>
          <w:rFonts w:ascii="標楷體" w:eastAsia="標楷體" w:hAnsi="標楷體" w:hint="eastAsia"/>
          <w:sz w:val="32"/>
          <w:szCs w:val="32"/>
        </w:rPr>
        <w:t>本站同仁對於民眾意見反映或抱怨等陳情案件，應謹慎處理，並虛心檢討改進，若礙於法令規定處理結果無法符合民眾期望，應委婉解釋告知，以消弭民眾之誤解與不滿</w:t>
      </w:r>
      <w:r w:rsidR="008A14F6">
        <w:rPr>
          <w:rFonts w:ascii="標楷體" w:eastAsia="標楷體" w:hAnsi="標楷體" w:hint="eastAsia"/>
          <w:sz w:val="32"/>
          <w:szCs w:val="32"/>
        </w:rPr>
        <w:t>情緒</w:t>
      </w:r>
      <w:r w:rsidR="009917E6">
        <w:rPr>
          <w:rFonts w:ascii="標楷體" w:eastAsia="標楷體" w:hAnsi="標楷體" w:hint="eastAsia"/>
          <w:sz w:val="32"/>
          <w:szCs w:val="32"/>
        </w:rPr>
        <w:t>，</w:t>
      </w:r>
      <w:r w:rsidR="009917E6" w:rsidRPr="00524F27">
        <w:rPr>
          <w:rFonts w:ascii="標楷體" w:eastAsia="標楷體" w:hAnsi="標楷體" w:hint="eastAsia"/>
          <w:sz w:val="32"/>
          <w:szCs w:val="32"/>
        </w:rPr>
        <w:t>進而提升本站為民服務績效</w:t>
      </w:r>
      <w:r w:rsidR="001E2BB1">
        <w:rPr>
          <w:rFonts w:ascii="標楷體" w:eastAsia="標楷體" w:hAnsi="標楷體" w:hint="eastAsia"/>
          <w:sz w:val="32"/>
          <w:szCs w:val="32"/>
        </w:rPr>
        <w:t>。</w:t>
      </w:r>
    </w:p>
    <w:sectPr w:rsidR="003104B0" w:rsidRPr="006F20D3" w:rsidSect="004755E8">
      <w:footerReference w:type="default" r:id="rId12"/>
      <w:pgSz w:w="11906" w:h="16838"/>
      <w:pgMar w:top="1418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090" w:rsidRDefault="001C2090" w:rsidP="00890320">
      <w:r>
        <w:separator/>
      </w:r>
    </w:p>
  </w:endnote>
  <w:endnote w:type="continuationSeparator" w:id="0">
    <w:p w:rsidR="001C2090" w:rsidRDefault="001C2090" w:rsidP="0089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567474"/>
      <w:docPartObj>
        <w:docPartGallery w:val="Page Numbers (Bottom of Page)"/>
        <w:docPartUnique/>
      </w:docPartObj>
    </w:sdtPr>
    <w:sdtEndPr/>
    <w:sdtContent>
      <w:p w:rsidR="00A00539" w:rsidRDefault="00A005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3F7" w:rsidRPr="000553F7">
          <w:rPr>
            <w:noProof/>
            <w:lang w:val="zh-TW"/>
          </w:rPr>
          <w:t>2</w:t>
        </w:r>
        <w:r>
          <w:fldChar w:fldCharType="end"/>
        </w:r>
      </w:p>
    </w:sdtContent>
  </w:sdt>
  <w:p w:rsidR="00A00539" w:rsidRDefault="00A005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090" w:rsidRDefault="001C2090" w:rsidP="00890320">
      <w:r>
        <w:separator/>
      </w:r>
    </w:p>
  </w:footnote>
  <w:footnote w:type="continuationSeparator" w:id="0">
    <w:p w:rsidR="001C2090" w:rsidRDefault="001C2090" w:rsidP="00890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2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/>
        <w:color w:val="auto"/>
      </w:rPr>
    </w:lvl>
  </w:abstractNum>
  <w:abstractNum w:abstractNumId="1">
    <w:nsid w:val="07E45383"/>
    <w:multiLevelType w:val="hybridMultilevel"/>
    <w:tmpl w:val="34B215CE"/>
    <w:lvl w:ilvl="0" w:tplc="2BEA1BC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3243D5"/>
    <w:multiLevelType w:val="hybridMultilevel"/>
    <w:tmpl w:val="54085192"/>
    <w:lvl w:ilvl="0" w:tplc="3CEC80FA">
      <w:start w:val="1"/>
      <w:numFmt w:val="taiwaneseCountingThousand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2246D"/>
    <w:multiLevelType w:val="hybridMultilevel"/>
    <w:tmpl w:val="CB6EE346"/>
    <w:lvl w:ilvl="0" w:tplc="BF2439EE">
      <w:start w:val="1"/>
      <w:numFmt w:val="taiwaneseCountingThousand"/>
      <w:lvlText w:val="(%1)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4">
    <w:nsid w:val="1C9A70EB"/>
    <w:multiLevelType w:val="hybridMultilevel"/>
    <w:tmpl w:val="2F84395C"/>
    <w:lvl w:ilvl="0" w:tplc="D5D6FA2C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1DAA2B1E"/>
    <w:multiLevelType w:val="hybridMultilevel"/>
    <w:tmpl w:val="F19A69B4"/>
    <w:lvl w:ilvl="0" w:tplc="F7A05BC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8B216C"/>
    <w:multiLevelType w:val="hybridMultilevel"/>
    <w:tmpl w:val="A4BC4806"/>
    <w:lvl w:ilvl="0" w:tplc="94D426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9F276E"/>
    <w:multiLevelType w:val="hybridMultilevel"/>
    <w:tmpl w:val="9DC62AF2"/>
    <w:lvl w:ilvl="0" w:tplc="6A12D29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38195AE1"/>
    <w:multiLevelType w:val="hybridMultilevel"/>
    <w:tmpl w:val="94109588"/>
    <w:lvl w:ilvl="0" w:tplc="F19EE436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3A6F7AE9"/>
    <w:multiLevelType w:val="hybridMultilevel"/>
    <w:tmpl w:val="B9D25FB6"/>
    <w:lvl w:ilvl="0" w:tplc="7FA208D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08D790A"/>
    <w:multiLevelType w:val="hybridMultilevel"/>
    <w:tmpl w:val="86248E58"/>
    <w:lvl w:ilvl="0" w:tplc="D4543C8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12D6E79"/>
    <w:multiLevelType w:val="hybridMultilevel"/>
    <w:tmpl w:val="A746B682"/>
    <w:lvl w:ilvl="0" w:tplc="800822E8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39054E2"/>
    <w:multiLevelType w:val="hybridMultilevel"/>
    <w:tmpl w:val="3DEE68C8"/>
    <w:lvl w:ilvl="0" w:tplc="552CDA2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"/>
  </w:num>
  <w:num w:numId="5">
    <w:abstractNumId w:val="11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D3"/>
    <w:rsid w:val="00006613"/>
    <w:rsid w:val="000108D0"/>
    <w:rsid w:val="00027BCC"/>
    <w:rsid w:val="00037278"/>
    <w:rsid w:val="000553F7"/>
    <w:rsid w:val="00067A33"/>
    <w:rsid w:val="00072D8F"/>
    <w:rsid w:val="000776D9"/>
    <w:rsid w:val="0009595E"/>
    <w:rsid w:val="000A64F2"/>
    <w:rsid w:val="000A729E"/>
    <w:rsid w:val="000C73D8"/>
    <w:rsid w:val="000D2FD7"/>
    <w:rsid w:val="00105ECD"/>
    <w:rsid w:val="00105FB9"/>
    <w:rsid w:val="0014081C"/>
    <w:rsid w:val="00157958"/>
    <w:rsid w:val="001677DF"/>
    <w:rsid w:val="001822BB"/>
    <w:rsid w:val="00185334"/>
    <w:rsid w:val="00192BD1"/>
    <w:rsid w:val="00195CC9"/>
    <w:rsid w:val="001C01E1"/>
    <w:rsid w:val="001C2090"/>
    <w:rsid w:val="001C6ECD"/>
    <w:rsid w:val="001E2BB1"/>
    <w:rsid w:val="00215C4B"/>
    <w:rsid w:val="00230AD2"/>
    <w:rsid w:val="0025703D"/>
    <w:rsid w:val="002A1F58"/>
    <w:rsid w:val="002C2BE7"/>
    <w:rsid w:val="002C3393"/>
    <w:rsid w:val="002C7A65"/>
    <w:rsid w:val="002E6915"/>
    <w:rsid w:val="003104B0"/>
    <w:rsid w:val="00316A86"/>
    <w:rsid w:val="00327B56"/>
    <w:rsid w:val="003315A4"/>
    <w:rsid w:val="003321E4"/>
    <w:rsid w:val="00396E32"/>
    <w:rsid w:val="003B140B"/>
    <w:rsid w:val="003E3841"/>
    <w:rsid w:val="003F4DD7"/>
    <w:rsid w:val="004014D1"/>
    <w:rsid w:val="004047BE"/>
    <w:rsid w:val="004148FF"/>
    <w:rsid w:val="00430B86"/>
    <w:rsid w:val="00431246"/>
    <w:rsid w:val="004755E8"/>
    <w:rsid w:val="00487285"/>
    <w:rsid w:val="00493692"/>
    <w:rsid w:val="00494B87"/>
    <w:rsid w:val="004D0E57"/>
    <w:rsid w:val="004D70E9"/>
    <w:rsid w:val="004E377C"/>
    <w:rsid w:val="004E5CF8"/>
    <w:rsid w:val="004E722D"/>
    <w:rsid w:val="00501518"/>
    <w:rsid w:val="0051061B"/>
    <w:rsid w:val="00512986"/>
    <w:rsid w:val="00524F27"/>
    <w:rsid w:val="00542D57"/>
    <w:rsid w:val="00564187"/>
    <w:rsid w:val="00565130"/>
    <w:rsid w:val="00586917"/>
    <w:rsid w:val="00592AC4"/>
    <w:rsid w:val="005A5F00"/>
    <w:rsid w:val="005C2D32"/>
    <w:rsid w:val="005D0BBE"/>
    <w:rsid w:val="005E317E"/>
    <w:rsid w:val="005F5984"/>
    <w:rsid w:val="005F5C04"/>
    <w:rsid w:val="00624642"/>
    <w:rsid w:val="00635955"/>
    <w:rsid w:val="00660687"/>
    <w:rsid w:val="006653CC"/>
    <w:rsid w:val="00675EBA"/>
    <w:rsid w:val="0067639B"/>
    <w:rsid w:val="00677492"/>
    <w:rsid w:val="00685761"/>
    <w:rsid w:val="006919BA"/>
    <w:rsid w:val="00693622"/>
    <w:rsid w:val="006966BE"/>
    <w:rsid w:val="006B1E62"/>
    <w:rsid w:val="006B2C2A"/>
    <w:rsid w:val="006B45DF"/>
    <w:rsid w:val="006B6162"/>
    <w:rsid w:val="006F20D3"/>
    <w:rsid w:val="006F34DC"/>
    <w:rsid w:val="007021A3"/>
    <w:rsid w:val="00705D94"/>
    <w:rsid w:val="00710D27"/>
    <w:rsid w:val="00711C64"/>
    <w:rsid w:val="00726AE9"/>
    <w:rsid w:val="00737CCC"/>
    <w:rsid w:val="00753EE6"/>
    <w:rsid w:val="00753F60"/>
    <w:rsid w:val="00754B5A"/>
    <w:rsid w:val="00755E50"/>
    <w:rsid w:val="007673EB"/>
    <w:rsid w:val="0077177F"/>
    <w:rsid w:val="0077268E"/>
    <w:rsid w:val="007818C5"/>
    <w:rsid w:val="00787AB0"/>
    <w:rsid w:val="0079284A"/>
    <w:rsid w:val="007B2BBB"/>
    <w:rsid w:val="007B5A4C"/>
    <w:rsid w:val="007D4FF9"/>
    <w:rsid w:val="007D59A8"/>
    <w:rsid w:val="007E2291"/>
    <w:rsid w:val="007F1908"/>
    <w:rsid w:val="008216F5"/>
    <w:rsid w:val="00826B93"/>
    <w:rsid w:val="0083263F"/>
    <w:rsid w:val="00841FEC"/>
    <w:rsid w:val="00863D1C"/>
    <w:rsid w:val="00887B68"/>
    <w:rsid w:val="00890320"/>
    <w:rsid w:val="008A14F6"/>
    <w:rsid w:val="008B0903"/>
    <w:rsid w:val="008B2281"/>
    <w:rsid w:val="008B35BB"/>
    <w:rsid w:val="008B4558"/>
    <w:rsid w:val="008B78F1"/>
    <w:rsid w:val="008D64CB"/>
    <w:rsid w:val="008E3F85"/>
    <w:rsid w:val="008F690E"/>
    <w:rsid w:val="00914ABC"/>
    <w:rsid w:val="00921308"/>
    <w:rsid w:val="00923B4A"/>
    <w:rsid w:val="009331EA"/>
    <w:rsid w:val="00941982"/>
    <w:rsid w:val="00943140"/>
    <w:rsid w:val="00944D9F"/>
    <w:rsid w:val="00964C34"/>
    <w:rsid w:val="00976F2D"/>
    <w:rsid w:val="009917E6"/>
    <w:rsid w:val="00994E79"/>
    <w:rsid w:val="009955DC"/>
    <w:rsid w:val="009B06AC"/>
    <w:rsid w:val="009B69BE"/>
    <w:rsid w:val="009C3D24"/>
    <w:rsid w:val="009C4B6C"/>
    <w:rsid w:val="009C62B7"/>
    <w:rsid w:val="009C7855"/>
    <w:rsid w:val="009D19E0"/>
    <w:rsid w:val="009D4595"/>
    <w:rsid w:val="009E00F2"/>
    <w:rsid w:val="009F40E2"/>
    <w:rsid w:val="00A00539"/>
    <w:rsid w:val="00A20FE6"/>
    <w:rsid w:val="00A24949"/>
    <w:rsid w:val="00A5149E"/>
    <w:rsid w:val="00A61600"/>
    <w:rsid w:val="00A746E1"/>
    <w:rsid w:val="00A8623F"/>
    <w:rsid w:val="00A9083A"/>
    <w:rsid w:val="00A94D36"/>
    <w:rsid w:val="00AA394A"/>
    <w:rsid w:val="00AA3D85"/>
    <w:rsid w:val="00AE1441"/>
    <w:rsid w:val="00AE6AC6"/>
    <w:rsid w:val="00B00CB3"/>
    <w:rsid w:val="00B11CCD"/>
    <w:rsid w:val="00B26BD3"/>
    <w:rsid w:val="00B274C3"/>
    <w:rsid w:val="00B27F85"/>
    <w:rsid w:val="00B43DFC"/>
    <w:rsid w:val="00B47C44"/>
    <w:rsid w:val="00B5474E"/>
    <w:rsid w:val="00B706DF"/>
    <w:rsid w:val="00B90F69"/>
    <w:rsid w:val="00BA6D22"/>
    <w:rsid w:val="00BB51A3"/>
    <w:rsid w:val="00C0676E"/>
    <w:rsid w:val="00C10E67"/>
    <w:rsid w:val="00C31148"/>
    <w:rsid w:val="00C318C0"/>
    <w:rsid w:val="00C31999"/>
    <w:rsid w:val="00C4023D"/>
    <w:rsid w:val="00C50D4B"/>
    <w:rsid w:val="00C575DE"/>
    <w:rsid w:val="00C61BAF"/>
    <w:rsid w:val="00C85202"/>
    <w:rsid w:val="00C910C2"/>
    <w:rsid w:val="00CA66D7"/>
    <w:rsid w:val="00CC4F0B"/>
    <w:rsid w:val="00CD3DB2"/>
    <w:rsid w:val="00CD48A7"/>
    <w:rsid w:val="00D21A9F"/>
    <w:rsid w:val="00D42966"/>
    <w:rsid w:val="00D47056"/>
    <w:rsid w:val="00D47BFA"/>
    <w:rsid w:val="00D6021F"/>
    <w:rsid w:val="00D65EEA"/>
    <w:rsid w:val="00D75CB8"/>
    <w:rsid w:val="00DB1784"/>
    <w:rsid w:val="00DD7126"/>
    <w:rsid w:val="00DE7319"/>
    <w:rsid w:val="00DF47CF"/>
    <w:rsid w:val="00E01D14"/>
    <w:rsid w:val="00EA67BD"/>
    <w:rsid w:val="00EB7665"/>
    <w:rsid w:val="00ED29AD"/>
    <w:rsid w:val="00ED63F6"/>
    <w:rsid w:val="00EE1BB1"/>
    <w:rsid w:val="00EF3F28"/>
    <w:rsid w:val="00F1298B"/>
    <w:rsid w:val="00F143C7"/>
    <w:rsid w:val="00F27371"/>
    <w:rsid w:val="00F37ED2"/>
    <w:rsid w:val="00F43F12"/>
    <w:rsid w:val="00F47F22"/>
    <w:rsid w:val="00F66C2D"/>
    <w:rsid w:val="00F81DDE"/>
    <w:rsid w:val="00F91089"/>
    <w:rsid w:val="00FA1339"/>
    <w:rsid w:val="00FC6011"/>
    <w:rsid w:val="00FE38DB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0D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0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03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0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0320"/>
    <w:rPr>
      <w:sz w:val="20"/>
      <w:szCs w:val="20"/>
    </w:rPr>
  </w:style>
  <w:style w:type="character" w:customStyle="1" w:styleId="WW8Num1z0">
    <w:name w:val="WW8Num1z0"/>
    <w:rsid w:val="00635955"/>
    <w:rPr>
      <w:rFonts w:ascii="新細明體" w:eastAsia="新細明體" w:hAnsi="新細明體" w:cs="Times New Roman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737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7CCC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密等"/>
    <w:basedOn w:val="a"/>
    <w:rsid w:val="009C4B6C"/>
    <w:pPr>
      <w:snapToGrid w:val="0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Default">
    <w:name w:val="Default"/>
    <w:rsid w:val="00F143C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0D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0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03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0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0320"/>
    <w:rPr>
      <w:sz w:val="20"/>
      <w:szCs w:val="20"/>
    </w:rPr>
  </w:style>
  <w:style w:type="character" w:customStyle="1" w:styleId="WW8Num1z0">
    <w:name w:val="WW8Num1z0"/>
    <w:rsid w:val="00635955"/>
    <w:rPr>
      <w:rFonts w:ascii="新細明體" w:eastAsia="新細明體" w:hAnsi="新細明體" w:cs="Times New Roman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737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7CCC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密等"/>
    <w:basedOn w:val="a"/>
    <w:rsid w:val="009C4B6C"/>
    <w:pPr>
      <w:snapToGrid w:val="0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Default">
    <w:name w:val="Default"/>
    <w:rsid w:val="00F143C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21570;&#20449;&#27194;&#26989;&#21209;\&#38515;&#24773;&#26696;&#20214;\107&#38515;&#24773;&#32113;&#35336;&#22823;&#39173;&#22294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&#21570;&#20449;&#27194;&#26989;&#21209;\&#38515;&#24773;&#26696;&#20214;\107&#38515;&#24773;&#32113;&#35336;&#22823;&#39173;&#22294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&#21570;&#20449;&#27194;&#26989;&#21209;\&#38515;&#24773;&#26696;&#20214;\107&#38515;&#24773;&#32113;&#35336;&#22823;&#39173;&#2229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7128010513837283E-2"/>
          <c:y val="0.1010342573349335"/>
          <c:w val="0.60184370893032313"/>
          <c:h val="0.89896564653556232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739206974128234"/>
                  <c:y val="-8.6965227895051581E-2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solidFill>
                        <a:schemeClr val="bg1"/>
                      </a:solidFill>
                    </a:defRPr>
                  </a:pPr>
                  <a:endParaRPr lang="zh-TW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 sz="1100"/>
                    </a:pPr>
                    <a:r>
                      <a:rPr lang="en-US" altLang="zh-TW" sz="1100">
                        <a:solidFill>
                          <a:schemeClr val="bg1"/>
                        </a:solidFill>
                      </a:rPr>
                      <a:t>11%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6142304086989126"/>
                  <c:y val="5.6259357541756511E-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 sz="1100">
                        <a:solidFill>
                          <a:schemeClr val="bg1"/>
                        </a:solidFill>
                      </a:rPr>
                      <a:t>38%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陳情方式!$B$2:$D$2</c:f>
              <c:strCache>
                <c:ptCount val="3"/>
                <c:pt idx="0">
                  <c:v>來函(局長信箱)</c:v>
                </c:pt>
                <c:pt idx="1">
                  <c:v>電話/現場(服務臺)</c:v>
                </c:pt>
                <c:pt idx="2">
                  <c:v>電子郵件(主任信箱、線上申訴、民意論壇)</c:v>
                </c:pt>
              </c:strCache>
            </c:strRef>
          </c:cat>
          <c:val>
            <c:numRef>
              <c:f>陳情方式!$B$3:$D$3</c:f>
              <c:numCache>
                <c:formatCode>General</c:formatCode>
                <c:ptCount val="3"/>
                <c:pt idx="0">
                  <c:v>42</c:v>
                </c:pt>
                <c:pt idx="1">
                  <c:v>9</c:v>
                </c:pt>
                <c:pt idx="2">
                  <c:v>32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陳情方式!$B$2:$D$2</c:f>
              <c:strCache>
                <c:ptCount val="3"/>
                <c:pt idx="0">
                  <c:v>來函(局長信箱)</c:v>
                </c:pt>
                <c:pt idx="1">
                  <c:v>電話/現場(服務臺)</c:v>
                </c:pt>
                <c:pt idx="2">
                  <c:v>電子郵件(主任信箱、線上申訴、民意論壇)</c:v>
                </c:pt>
              </c:strCache>
            </c:strRef>
          </c:cat>
          <c:val>
            <c:numRef>
              <c:f>陳情方式!$B$4:$D$4</c:f>
              <c:numCache>
                <c:formatCode>0.00%</c:formatCode>
                <c:ptCount val="3"/>
                <c:pt idx="0">
                  <c:v>0.50602409638554213</c:v>
                </c:pt>
                <c:pt idx="1">
                  <c:v>0.10843373493975904</c:v>
                </c:pt>
                <c:pt idx="2">
                  <c:v>0.38554216867469882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374302701958176"/>
          <c:y val="0.32993135473450436"/>
          <c:w val="0.33673518082966902"/>
          <c:h val="0.3615961466355167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872602463153647E-2"/>
          <c:y val="0.21105735514740476"/>
          <c:w val="0.66488372519868588"/>
          <c:h val="0.78894264485259524"/>
        </c:manualLayout>
      </c:layout>
      <c:pie3DChart>
        <c:varyColors val="1"/>
        <c:ser>
          <c:idx val="0"/>
          <c:order val="0"/>
          <c:explosion val="3"/>
          <c:dPt>
            <c:idx val="0"/>
            <c:bubble3D val="0"/>
            <c:explosion val="0"/>
          </c:dPt>
          <c:dLbls>
            <c:dLbl>
              <c:idx val="0"/>
              <c:layout>
                <c:manualLayout>
                  <c:x val="-0.17246792566095734"/>
                  <c:y val="-0.16835784541440735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1200">
                        <a:solidFill>
                          <a:schemeClr val="bg1"/>
                        </a:solidFill>
                      </a:rPr>
                      <a:t>68.67%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6102309844105384"/>
                  <c:y val="6.1344311053012489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1100">
                        <a:solidFill>
                          <a:schemeClr val="bg1"/>
                        </a:solidFill>
                      </a:rPr>
                      <a:t>31.33%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陳情類別!$B$2:$E$2</c:f>
              <c:strCache>
                <c:ptCount val="4"/>
                <c:pt idx="0">
                  <c:v>興革事項</c:v>
                </c:pt>
                <c:pt idx="1">
                  <c:v>權益維護</c:v>
                </c:pt>
                <c:pt idx="2">
                  <c:v>違失舉發</c:v>
                </c:pt>
                <c:pt idx="3">
                  <c:v>法令查詢</c:v>
                </c:pt>
              </c:strCache>
            </c:strRef>
          </c:cat>
          <c:val>
            <c:numRef>
              <c:f>陳情類別!$B$4:$E$4</c:f>
              <c:numCache>
                <c:formatCode>0.00%</c:formatCode>
                <c:ptCount val="4"/>
                <c:pt idx="0">
                  <c:v>0.68674698795180722</c:v>
                </c:pt>
                <c:pt idx="1">
                  <c:v>0.31325301204819278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3398674815997655"/>
          <c:y val="0.36784732517229035"/>
          <c:w val="0.17712001908852301"/>
          <c:h val="0.29812722113230772"/>
        </c:manualLayout>
      </c:layout>
      <c:overlay val="0"/>
      <c:txPr>
        <a:bodyPr/>
        <a:lstStyle/>
        <a:p>
          <a:pPr rtl="0">
            <a:defRPr/>
          </a:pPr>
          <a:endParaRPr lang="zh-TW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3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147287776794615"/>
          <c:y val="0.32035079368227581"/>
          <c:w val="0.59721845550782271"/>
          <c:h val="0.6342340582117062"/>
        </c:manualLayout>
      </c:layout>
      <c:pie3DChart>
        <c:varyColors val="1"/>
        <c:ser>
          <c:idx val="0"/>
          <c:order val="0"/>
          <c:explosion val="24"/>
          <c:dPt>
            <c:idx val="0"/>
            <c:bubble3D val="0"/>
            <c:explosion val="0"/>
          </c:dPt>
          <c:dPt>
            <c:idx val="1"/>
            <c:bubble3D val="0"/>
            <c:explosion val="0"/>
          </c:dPt>
          <c:dPt>
            <c:idx val="2"/>
            <c:bubble3D val="0"/>
            <c:explosion val="0"/>
          </c:dPt>
          <c:dLbls>
            <c:dLbl>
              <c:idx val="0"/>
              <c:layout>
                <c:manualLayout>
                  <c:x val="-0.20003374876707292"/>
                  <c:y val="-0.10253823693725031"/>
                </c:manualLayout>
              </c:layout>
              <c:tx>
                <c:rich>
                  <a:bodyPr/>
                  <a:lstStyle/>
                  <a:p>
                    <a:r>
                      <a:rPr lang="zh-TW" altLang="en-US" sz="1100">
                        <a:solidFill>
                          <a:schemeClr val="bg1"/>
                        </a:solidFill>
                      </a:rPr>
                      <a:t>男
</a:t>
                    </a:r>
                    <a:r>
                      <a:rPr lang="en-US" altLang="zh-TW" sz="1100">
                        <a:solidFill>
                          <a:schemeClr val="bg1"/>
                        </a:solidFill>
                      </a:rPr>
                      <a:t>53%</a:t>
                    </a:r>
                    <a:endParaRPr lang="zh-TW" altLang="en-US" sz="1100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3502084949183743"/>
                  <c:y val="-9.7654633766574225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 sz="1100">
                        <a:solidFill>
                          <a:schemeClr val="bg1"/>
                        </a:solidFill>
                      </a:rPr>
                      <a:t>女
</a:t>
                    </a:r>
                    <a:r>
                      <a:rPr lang="en-US" altLang="zh-TW" sz="1100">
                        <a:solidFill>
                          <a:schemeClr val="bg1"/>
                        </a:solidFill>
                      </a:rPr>
                      <a:t>35%</a:t>
                    </a:r>
                    <a:endParaRPr lang="zh-TW" altLang="en-US" sz="1100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7.6553145604136383E-2"/>
                  <c:y val="0.10427439487393028"/>
                </c:manualLayout>
              </c:layout>
              <c:tx>
                <c:rich>
                  <a:bodyPr/>
                  <a:lstStyle/>
                  <a:p>
                    <a:r>
                      <a:rPr lang="zh-TW" altLang="en-US" sz="1100">
                        <a:solidFill>
                          <a:schemeClr val="bg1"/>
                        </a:solidFill>
                      </a:rPr>
                      <a:t>無表示
</a:t>
                    </a:r>
                    <a:r>
                      <a:rPr lang="en-US" altLang="zh-TW" sz="1100">
                        <a:solidFill>
                          <a:schemeClr val="bg1"/>
                        </a:solidFill>
                      </a:rPr>
                      <a:t>12%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陳情性別!$B$2:$D$2</c:f>
              <c:strCache>
                <c:ptCount val="3"/>
                <c:pt idx="0">
                  <c:v>男</c:v>
                </c:pt>
                <c:pt idx="1">
                  <c:v>女</c:v>
                </c:pt>
                <c:pt idx="2">
                  <c:v>無表示</c:v>
                </c:pt>
              </c:strCache>
            </c:strRef>
          </c:cat>
          <c:val>
            <c:numRef>
              <c:f>陳情性別!$B$3:$D$3</c:f>
              <c:numCache>
                <c:formatCode>General</c:formatCode>
                <c:ptCount val="3"/>
                <c:pt idx="0">
                  <c:v>44</c:v>
                </c:pt>
                <c:pt idx="1">
                  <c:v>29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陳情性別!$B$2:$D$2</c:f>
              <c:strCache>
                <c:ptCount val="3"/>
                <c:pt idx="0">
                  <c:v>男</c:v>
                </c:pt>
                <c:pt idx="1">
                  <c:v>女</c:v>
                </c:pt>
                <c:pt idx="2">
                  <c:v>無表示</c:v>
                </c:pt>
              </c:strCache>
            </c:strRef>
          </c:cat>
          <c:val>
            <c:numRef>
              <c:f>陳情性別!$B$4:$D$4</c:f>
              <c:numCache>
                <c:formatCode>0.00%</c:formatCode>
                <c:ptCount val="3"/>
                <c:pt idx="0">
                  <c:v>0.53012048192771088</c:v>
                </c:pt>
                <c:pt idx="1">
                  <c:v>0.3493975903614458</c:v>
                </c:pt>
                <c:pt idx="2">
                  <c:v>0.12048192771084337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5069232046987178"/>
          <c:y val="0.4086756315410196"/>
          <c:w val="0.14404002743683633"/>
          <c:h val="0.28661979280297772"/>
        </c:manualLayout>
      </c:layout>
      <c:overlay val="0"/>
      <c:txPr>
        <a:bodyPr/>
        <a:lstStyle/>
        <a:p>
          <a:pPr rtl="0">
            <a:defRPr/>
          </a:pPr>
          <a:endParaRPr lang="zh-TW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3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0.11419</cdr:x>
      <cdr:y>0.04585</cdr:y>
    </cdr:from>
    <cdr:to>
      <cdr:x>0.91919</cdr:x>
      <cdr:y>0.17362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603009" y="140977"/>
          <a:ext cx="4250931" cy="392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altLang="zh-TW" sz="2000"/>
            <a:t>107</a:t>
          </a:r>
          <a:r>
            <a:rPr lang="zh-TW" altLang="en-US" sz="2000"/>
            <a:t>年</a:t>
          </a:r>
          <a:r>
            <a:rPr lang="en-US" altLang="zh-TW" sz="2000"/>
            <a:t>1-12</a:t>
          </a:r>
          <a:r>
            <a:rPr lang="zh-TW" altLang="en-US" sz="2000"/>
            <a:t>月陳情案件陳情方式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0.16363</cdr:x>
      <cdr:y>0.01743</cdr:y>
    </cdr:from>
    <cdr:to>
      <cdr:x>0.85454</cdr:x>
      <cdr:y>0.15333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891530" y="58899"/>
          <a:ext cx="3764285" cy="4592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altLang="zh-TW" sz="2000"/>
            <a:t>107</a:t>
          </a:r>
          <a:r>
            <a:rPr lang="zh-TW" altLang="en-US" sz="2000"/>
            <a:t>年</a:t>
          </a:r>
          <a:r>
            <a:rPr lang="en-US" altLang="zh-TW" sz="2000"/>
            <a:t>1-12</a:t>
          </a:r>
          <a:r>
            <a:rPr lang="zh-TW" altLang="en-US" sz="2000"/>
            <a:t>月陳情案件陳情類別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0.13241</cdr:x>
      <cdr:y>0.02533</cdr:y>
    </cdr:from>
    <cdr:to>
      <cdr:x>0.8741</cdr:x>
      <cdr:y>0.16123</cdr:y>
    </cdr:to>
    <cdr:sp macro="" textlink="">
      <cdr:nvSpPr>
        <cdr:cNvPr id="3" name="文字方塊 1"/>
        <cdr:cNvSpPr txBox="1"/>
      </cdr:nvSpPr>
      <cdr:spPr>
        <a:xfrm xmlns:a="http://schemas.openxmlformats.org/drawingml/2006/main">
          <a:off x="697193" y="77776"/>
          <a:ext cx="3905287" cy="4173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altLang="zh-TW" sz="2000"/>
            <a:t>107</a:t>
          </a:r>
          <a:r>
            <a:rPr lang="zh-TW" altLang="en-US" sz="2000"/>
            <a:t>年</a:t>
          </a:r>
          <a:r>
            <a:rPr lang="en-US" altLang="zh-TW" sz="2000"/>
            <a:t>1-12</a:t>
          </a:r>
          <a:r>
            <a:rPr lang="zh-TW" altLang="en-US" sz="2000"/>
            <a:t>月陳情案件陳情人性別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794D-5BCC-4E5B-844C-2E90C817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312</Words>
  <Characters>1779</Characters>
  <Application>Microsoft Office Word</Application>
  <DocSecurity>0</DocSecurity>
  <Lines>14</Lines>
  <Paragraphs>4</Paragraphs>
  <ScaleCrop>false</ScaleCrop>
  <Company>ZLOCK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MS127</dc:creator>
  <cp:lastModifiedBy>呂信樺</cp:lastModifiedBy>
  <cp:revision>13</cp:revision>
  <cp:lastPrinted>2019-01-14T05:42:00Z</cp:lastPrinted>
  <dcterms:created xsi:type="dcterms:W3CDTF">2018-01-14T07:25:00Z</dcterms:created>
  <dcterms:modified xsi:type="dcterms:W3CDTF">2019-01-14T08:05:00Z</dcterms:modified>
</cp:coreProperties>
</file>